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中兴商业（000715）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ROE≈5.7%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中兴商业（000715）。所属行业为[]。总市值约25.6亿元，属中小型企业。主营业务围绕[]展开。PE约22.4倍，处于低估值区间。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中兴商业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000715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中兴商业所属[]行业。由于概念标签数据当前不可获取（Tushare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中兴商业在[]领域运营。以下基于行业通用框架和公开信息进行分析。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由PE22.4倍和总市值25.6亿元推导，公司年化净利润约1.14亿。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若参考行业约7%的通用净利率水平，推导年营收约16.29亿。此为间接估算，准确数据请查阅公司最新年报。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上游：原材料供应商和设备制造商（具体取决于[]细分环节）。对于中兴商业这类企业，关键原材料包括钢材、有色金属、电子元器件等基础工业品，采购来源相对分散。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推导年化净利润约1.14亿（=总市值25.6亿 ÷ PE22.4倍）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推导ROE约5.7%（=PB1.3 ÷ PE22.4）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中兴商业所在赛道：[]。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22.4x处于低估值区间，PB 1.28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25.62亿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中兴商业具有一定投资价值，但存在局部短板。建议在理解风险的前提下适度关注。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宏观经济波动可能影响中兴商业的下游需求和盈利能力，系统性风险不可忽视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可比公司估值对照——对比[]内同体量上市公司的PE中位数和PB均值，判断中兴商业的相对估值位置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