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燕京啤酒（000729）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ROE≈11.3% | 市值289亿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燕京啤酒（000729）。所属行业为[]。总市值约288.9亿元，属中大型企业。主营业务围绕[]展开。PE约16.2倍，处于低估值区间。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燕京啤酒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000729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288.90亿元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燕京啤酒所属[]行业。由于概念标签数据当前不可获取（Tushare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燕京啤酒在[]领域运营。以下基于行业通用框架和公开信息进行分析。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从市值规模（288.9亿元）判断，公司属于[]行业的中大型企业。在这个定位下，公司竞争策略可能以差异化产品或细分市场深耕为主，而非全品类价格战。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由PE16.2倍和总市值288.9亿元推导，公司年化净利润约17.79亿。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若参考行业约7%的通用净利率水平，推导年营收约254.14亿。此为间接估算，准确数据请查阅公司最新年报。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上游：原材料供应商和设备制造商（具体取决于[]细分环节）。对于燕京啤酒这类企业，关键原材料包括钢材、有色金属、电子元器件等基础工业品，采购来源相对分散。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推导年化净利润约17.79亿（=总市值288.9亿 ÷ PE16.2倍）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推导ROE约11.3%（=PB1.8 ÷ PE16.2）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288.90亿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17.79亿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燕京啤酒所在赛道：[]。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16.2x处于低估值区间，PB 1.83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288.90亿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总市值288.9亿元，适中的规模意味着业绩弹性较大，一旦基本面改善，利润和估值双升弹性显著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燕京啤酒具有一定投资价值，但存在局部短板。建议在理解风险的前提下适度关注。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ROE11.3%处于良好水平，显示公司资本运用效率较高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市值289亿元处于中小市值区间，业绩弹性大，盈利改善对股价的传导效率高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宏观经济波动可能影响燕京啤酒的下游需求和盈利能力，系统性风险不可忽视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可比公司估值对照——对比[]内同体量上市公司的PE中位数和PB均值，判断燕京啤酒的相对估值位置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