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漳州发展（000753）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ROE≈2.4% | 市值48亿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漳州发展（000753）。所属行业为[]。总市值约47.7亿元，属中小型企业。主营业务围绕[]展开。PE约70.7倍，处于高估值成长区间。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漳州发展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000753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47.69亿元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漳州发展所属[]行业。由于概念标签数据当前不可获取（Tushare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漳州发展在[]领域运营。以下基于行业通用框架和公开信息进行分析。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从市值规模（47.7亿元）判断，公司属于[]行业的中小型企业。在这个定位下，公司竞争策略可能以差异化产品或细分市场深耕为主，而非全品类价格战。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由PE70.7倍和总市值47.7亿元推导，公司年化净利润约6800万。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若参考行业约7%的通用净利率水平，推导年营收约9.71亿。此为间接估算，准确数据请查阅公司最新年报。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上游：原材料供应商和设备制造商（具体取决于[]细分环节）。对于漳州发展这类企业，关键原材料包括钢材、有色金属、电子元器件等基础工业品，采购来源相对分散。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推导年化净利润约6800万（=总市值47.7亿 ÷ PE70.7倍）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推导ROE约2.4%（=PB1.7 ÷ PE70.7）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47.69亿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70.7倍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6800万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漳州发展所在赛道：[]。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70.7x处于中等偏高区间。PB 1.73x。核心矛盾在于未来2-3年净利润增速能否消化当前PE。以70.7x PE计算，若净利润年增长20%，3年后PE降至约40.8x；若仅增长10%，3年后PE约53.1x。投资者需结合行业增速和公司市场份额变化判断增速假设的合理性。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70.7倍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47.69亿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公司业绩超预期增长，若净利润增速&gt;30%则当前PE70.7x有望被快速消化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总市值47.7亿元，适中的规模意味着业绩弹性较大，一旦基本面改善，利润和估值双升弹性显著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高估值回调风险：PE70.7倍处于高估值区间，若业绩不及预期可能面临"戴维斯双杀"（估值+业绩双重下修），PE从70.7x回落至35x可能导致股价腰斩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流动性风险：换手率1.75%，极端行情下可能出现流动性不足，大资金进出受限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PE70.7x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漳州发展当前面临估值压力或基本面不确定性。建议等待更明确的信号（业绩拐点、行业催化剂）后再做判断。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PE70.7x虽高，若公司处于[]高景气赛道且增长确定性高，高估值可能被业绩消化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PE70.7x处于高位，估值回调风险是最大隐患——若业绩不及预期，可能面临杀估值+杀业绩双杀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宏观经济波动可能影响漳州发展的下游需求和盈利能力，系统性风险不可忽视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可比公司估值对照——对比[]内同体量上市公司的PE中位数和PB均值，判断漳州发展的相对估值位置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