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山高环能（000803）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ROE≈3.1% | 市值35亿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山高环能（000803）。所属行业为[]。总市值约34.5亿元，属中小型企业。主营业务围绕[]展开。PE约75.4倍，处于高估值成长区间。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山高环能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000803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34.51亿元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山高环能所属[]行业。由于概念标签数据当前不可获取（Tushare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山高环能在[]领域运营。以下基于行业通用框架和公开信息进行分析。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从市值规模（34.5亿元）判断，公司属于[]行业的中小型企业。在这个定位下，公司竞争策略可能以差异化产品或细分市场深耕为主，而非全品类价格战。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由PE75.4倍和总市值34.5亿元推导，公司年化净利润约4600万。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上游：原材料供应商和设备制造商（具体取决于[]细分环节）。对于山高环能这类企业，关键原材料包括钢材、有色金属、电子元器件等基础工业品，采购来源相对分散。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推导年化净利润约4600万（=总市值34.5亿 ÷ PE75.4倍）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推导ROE约3.1%（=PB2.3 ÷ PE75.4）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34.51亿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75.4倍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山高环能所在赛道：[]。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75.4x处于中等偏高区间。PB 2.32x。核心矛盾在于未来2-3年净利润增速能否消化当前PE。以75.4x PE计算，若净利润年增长20%，3年后PE降至约43.6x；若仅增长10%，3年后PE约56.7x。投资者需结合行业增速和公司市场份额变化判断增速假设的合理性。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75.4倍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34.51亿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4.40%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公司业绩超预期增长，若净利润增速&gt;30%则当前PE75.4x有望被快速消化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总市值34.5亿元，适中的规模意味着业绩弹性较大，一旦基本面改善，利润和估值双升弹性显著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高估值回调风险：PE75.4倍处于高估值区间，若业绩不及预期可能面临"戴维斯双杀"（估值+业绩双重下修），PE从75.4x回落至38x可能导致股价腰斩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流动性风险：换手率4.40%，极端行情下可能出现流动性不足，大资金进出受限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PE75.4x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山高环能当前面临估值压力或基本面不确定性。建议等待更明确的信号（业绩拐点、行业催化剂）后再做判断。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PE75.4x虽高，若公司处于[]高景气赛道且增长确定性高，高估值可能被业绩消化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PE75.4x处于高位，估值回调风险是最大隐患——若业绩不及预期，可能面临杀估值+杀业绩双杀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宏观经济波动可能影响山高环能的下游需求和盈利能力，系统性风险不可忽视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可比公司估值对照——对比[]内同体量上市公司的PE中位数和PB均值，判断山高环能的相对估值位置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