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千味央厨（001215）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ROE≈3.5% | 市值41亿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千味央厨（001215）。所属行业为[]。总市值约41.0亿元，属中小型企业。主营业务围绕[]展开。PE约63.3倍，处于高估值成长区间。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千味央厨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001215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41.00亿元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千味央厨所属[]行业。由于概念标签数据当前不可获取（Tushare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千味央厨在[]领域运营。以下基于行业通用框架和公开信息进行分析。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从市值规模（41.0亿元）判断，公司属于[]行业的中小型企业。在这个定位下，公司竞争策略可能以差异化产品或细分市场深耕为主，而非全品类价格战。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由PE63.3倍和总市值41.0亿元推导，公司年化净利润约6500万。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若参考行业约7%的通用净利率水平，推导年营收约9.29亿。此为间接估算，准确数据请查阅公司最新年报。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上游：原材料供应商和设备制造商（具体取决于[]细分环节）。对于千味央厨这类企业，关键原材料包括钢材、有色金属、电子元器件等基础工业品，采购来源相对分散。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推导年化净利润约6500万（=总市值41.0亿 ÷ PE63.3倍）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推导ROE约3.5%（=PB2.2 ÷ PE63.3）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41.00亿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63.3倍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6500万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千味央厨所在赛道：[]。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63.3x处于中等偏高区间。PB 2.21x。核心矛盾在于未来2-3年净利润增速能否消化当前PE。以63.3x PE计算，若净利润年增长20%，3年后PE降至约36.6x；若仅增长10%，3年后PE约47.6x。投资者需结合行业增速和公司市场份额变化判断增速假设的合理性。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63.3倍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41.00亿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公司业绩超预期增长，若净利润增速&gt;30%则当前PE63.3x有望被快速消化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总市值41.0亿元，适中的规模意味着业绩弹性较大，一旦基本面改善，利润和估值双升弹性显著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高估值回调风险：PE63.3倍处于高估值区间，若业绩不及预期可能面临"戴维斯双杀"（估值+业绩双重下修），PE从63.3x回落至32x可能导致股价腰斩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换手率5.04%适中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PE63.3x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千味央厨当前面临估值压力或基本面不确定性。建议等待更明确的信号（业绩拐点、行业催化剂）后再做判断。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PE63.3x虽高，若公司处于[]高景气赛道且增长确定性高，高估值可能被业绩消化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PE63.3x处于高位，估值回调风险是最大隐患——若业绩不及预期，可能面临杀估值+杀业绩双杀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宏观经济波动可能影响千味央厨的下游需求和盈利能力，系统性风险不可忽视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可比公司估值对照——对比[]内同体量上市公司的PE中位数和PB均值，判断千味央厨的相对估值位置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