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兴欣新材（001358）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ROE≈3.7% | 市值30亿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兴欣新材（001358）。所属行业为[]。总市值约30.5亿元，属中小型企业。主营业务围绕[]展开。PE约58.3倍，处于中等估值区间。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兴欣新材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001358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30.49亿元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兴欣新材所属[]行业。由于概念标签数据当前不可获取（Tushare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兴欣新材在[]领域运营。以下基于行业通用框架和公开信息进行分析。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从市值规模（30.5亿元）判断，公司属于[]行业的中小型企业。在这个定位下，公司竞争策略可能以差异化产品或细分市场深耕为主，而非全品类价格战。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由PE58.3倍和总市值30.5亿元推导，公司年化净利润约5200万。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若参考行业约7%的通用净利率水平，推导年营收约7.43亿。此为间接估算，准确数据请查阅公司最新年报。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上游：原材料供应商和设备制造商（具体取决于[]细分环节）。对于兴欣新材这类企业，关键原材料包括钢材、有色金属、电子元器件等基础工业品，采购来源相对分散。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推导年化净利润约5200万（=总市值30.5亿 ÷ PE58.3倍）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推导ROE约3.7%（=PB2.1 ÷ PE58.3）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30.49亿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58.3倍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3.35%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5200万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兴欣新材所在赛道：[]。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58.3x处于中等偏高区间。PB 2.14x。核心矛盾在于未来2-3年净利润增速能否消化当前PE。以58.3x PE计算，若净利润年增长20%，3年后PE降至约33.7x；若仅增长10%，3年后PE约43.8x。投资者需结合行业增速和公司市场份额变化判断增速假设的合理性。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58.3倍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30.49亿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3.35%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公司业绩超预期增长，若净利润增速&gt;30%则当前PE58.3x有望被快速消化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总市值30.5亿元，适中的规模意味着业绩弹性较大，一旦基本面改善，利润和估值双升弹性显著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估值压缩风险：PE58.3倍处于中等偏上，若市场情绪转向或行业景气度下行，估值可能压缩至20-25倍区间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流动性风险：换手率3.35%，极端行情下可能出现流动性不足，大资金进出受限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PE58.3x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19/35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综合评级：C级·中性（19/35）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兴欣新材当前面临估值压力或基本面不确定性。建议等待更明确的信号（业绩拐点、行业催化剂）后再做判断。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PE58.3x处于行业可接受范围，若净利润增速&gt;20%将形成合理估值支撑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市值30亿元处于中小市值区间，业绩弹性大，盈利改善对股价的传导效率高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PE58.3x存在估值压缩风险，若市场情绪转向或增长放缓，可能挤压至合理区间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宏观经济波动可能影响兴欣新材的下游需求和盈利能力，系统性风险不可忽视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可比公司估值对照——对比[]内同体量上市公司的PE中位数和PB均值，判断兴欣新材的相对估值位置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