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古麒绒材（001390）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ROE≈10.8% | 市值38亿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古麒绒材（001390）。所属行业为[]。总市值约38.0亿元，属中小型企业。主营业务围绕[]展开。PE约21.1倍，处于低估值区间。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古麒绒材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001390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37.96亿元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古麒绒材所属[]行业。由于概念标签数据当前不可获取（Tushare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古麒绒材在[]领域运营。以下基于行业通用框架和公开信息进行分析。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从市值规模（38.0亿元）判断，公司属于[]行业的中小型企业。在这个定位下，公司竞争策略可能以差异化产品或细分市场深耕为主，而非全品类价格战。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由PE21.1倍和总市值38.0亿元推导，公司年化净利润约1.80亿。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若参考行业约7%的通用净利率水平，推导年营收约25.71亿。此为间接估算，准确数据请查阅公司最新年报。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上游：原材料供应商和设备制造商（具体取决于[]细分环节）。对于古麒绒材这类企业，关键原材料包括钢材、有色金属、电子元器件等基础工业品，采购来源相对分散。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推导年化净利润约1.80亿（=总市值38.0亿 ÷ PE21.1倍）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推导ROE约10.8%（=PB2.3 ÷ PE21.1）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37.96亿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21.1倍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2.28倍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1.80亿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10.8%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古麒绒材所在赛道：[]。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21.1x处于低估值区间，PB 2.28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21.1倍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2.28倍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37.96亿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10.8%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良好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公司业绩超预期增长，若净利润增速&gt;30%则当前PE21.1x有望被快速消化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总市值38.0亿元，适中的规模意味着业绩弹性较大，一旦基本面改善，利润和估值双升弹性显著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流动性风险：换手率1.47%，极端行情下可能出现流动性不足，大资金进出受限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PE21.1x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换手率1.5%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PB2.3x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22/35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综合评级：B级·推荐-B（22/35）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古麒绒材具有一定投资价值，但存在局部短板。建议在理解风险的前提下适度关注。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估值优势：PE21.1x处于A股中等偏低水平，若业绩改善确认，估值修复空间明确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ROE10.8%处于良好水平，显示公司资本运用效率较高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市值38亿元处于中小市值区间，业绩弹性大，盈利改善对股价的传导效率高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换手率1.5%偏低，在需要止损时可能面临流动性不足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宏观经济波动可能影响古麒绒材的下游需求和盈利能力，系统性风险不可忽视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可比公司估值对照——对比[]内同体量上市公司的PE中位数和PB均值，判断古麒绒材的相对估值位置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07:59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