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大族激光（002008）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ROE≈6.7% | 市值1389亿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大族激光（002008）。所属行业为[]。总市值约1388.9亿元，属大型企业。主营业务围绕[]展开。PE约100.6倍，处于高估值成长区间。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大族激光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002008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1388.93亿元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大族激光所属[]行业。由于概念标签数据当前不可获取（Tushare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大族激光在[]领域运营。以下基于行业通用框架和公开信息进行分析。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从市值规模（1388.9亿元）判断，公司属于[]行业的大型平台型企业。在这个定位下，公司竞争策略可能以差异化产品或细分市场深耕为主，而非全品类价格战。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由PE100.6倍和总市值1388.9亿元推导，公司年化净利润约13.80亿。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若参考行业约7%的通用净利率水平，推导年营收约197.14亿。此为间接估算，准确数据请查阅公司最新年报。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上游：原材料供应商和设备制造商（具体取决于[]细分环节）。对于大族激光这类企业，关键原材料包括钢材、有色金属、电子元器件等基础工业品，采购来源相对分散。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推导年化净利润约13.80亿（=总市值1388.9亿 ÷ PE100.6倍）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推导ROE约6.7%（=PB6.8 ÷ PE100.6）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1388.93亿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13.80亿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大族激光所在赛道：[]。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100.6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6.79x也处于中等偏高水平，若ROE不能持续维持在&gt;20%的水平，PB难以维持当前高位。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1388.93亿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9.09%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公司业绩超预期增长，若净利润增速&gt;30%则当前PE100.6x有望被快速消化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总市值1388.9亿元，适中的规模意味着业绩弹性较大，一旦基本面改善，利润和估值双升弹性显著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高估值回调风险：PE100.6倍处于高估值区间，若业绩不及预期可能面临"戴维斯双杀"（估值+业绩双重下修），PE从100.6x回落至50x可能导致股价腰斩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换手率9.09%适中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高PB风险：PB6.79x需要高ROE支撑，若ROE下滑PB将面临均值回归压力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PE100.6x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换手率9.1%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PB6.8x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大族激光当前面临估值压力或基本面不确定性。建议等待更明确的信号（业绩拐点、行业催化剂）后再做判断。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PE100.6x虽高，若公司处于[]高景气赛道且增长确定性高，高估值可能被业绩消化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PE100.6x处于高位，估值回调风险是最大隐患——若业绩不及预期，可能面临杀估值+杀业绩双杀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PB6.79x偏高，需要持续较强的资本回报率来支撑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宏观经济波动可能影响大族激光的下游需求和盈利能力，系统性风险不可忽视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可比公司估值对照——对比[]内同体量上市公司的PE中位数和PB均值，判断大族激光的相对估值位置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