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德美化工（002054）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ROE≈5.2%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德美化工（002054）。所属行业为[]。总市值约35.3亿元，属中小型企业。主营业务围绕[]展开。PE约26.4倍，处于中等估值区间。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德美化工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002054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德美化工所属[]行业。由于概念标签数据当前不可获取（Tushare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德美化工在[]领域运营。以下基于行业通用框架和公开信息进行分析。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由PE26.4倍和总市值35.3亿元推导，公司年化净利润约1.34亿。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上游：原材料供应商和设备制造商（具体取决于[]细分环节）。对于德美化工这类企业，关键原材料包括钢材、有色金属、电子元器件等基础工业品，采购来源相对分散。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推导年化净利润约1.34亿（=总市值35.3亿 ÷ PE26.4倍）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推导ROE约5.2%（=PB1.4 ÷ PE26.4）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德美化工所在赛道：[]。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26.4x、PB 1.37x处于行业中枢水平。估值的关键在于ROE（推导约5.2%）能否支撑当前PB，以及利润增速是否匹配PE水平。PE 26.4x隐含了约3.8%的盈利收益率期望。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德美化工具有一定投资价值，但存在局部短板。建议在理解风险的前提下适度关注。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估值优势：PE26.4x处于A股中等偏低水平，若业绩改善确认，估值修复空间明确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宏观经济波动可能影响德美化工的下游需求和盈利能力，系统性风险不可忽视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可比公司估值对照——对比[]内同体量上市公司的PE中位数和PB均值，判断德美化工的相对估值位置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