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中材科技（002080）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ROE≈9.9% | 市值1352亿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中材科技（002080）。所属行业为[]。总市值约1351.7亿元，属大型企业。主营业务围绕[]展开。PE约68.8倍，处于高估值成长区间。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中材科技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002080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1351.73亿元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中材科技所属[]行业。由于概念标签数据当前不可获取（Tushare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中材科技在[]领域运营。以下基于行业通用框架和公开信息进行分析。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从市值规模（1351.7亿元）判断，公司属于[]行业的大型平台型企业。在这个定位下，公司竞争策略可能以差异化产品或细分市场深耕为主，而非全品类价格战。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由PE68.8倍和总市值1351.7亿元推导，公司年化净利润约19.63亿。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若参考行业约7%的通用净利率水平，推导年营收约280.43亿。此为间接估算，准确数据请查阅公司最新年报。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上游：原材料供应商和设备制造商（具体取决于[]细分环节）。对于中材科技这类企业，关键原材料包括钢材、有色金属、电子元器件等基础工业品，采购来源相对分散。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推导年化净利润约19.63亿（=总市值1351.7亿 ÷ PE68.8倍）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推导ROE约9.9%（=PB6.8 ÷ PE68.8）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1351.73亿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68.8倍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6.85倍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4.28%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19.63亿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中材科技所在赛道：[]。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68.8x处于中等偏高区间。PB 6.85x。核心矛盾在于未来2-3年净利润增速能否消化当前PE。以68.8x PE计算，若净利润年增长20%，3年后PE降至约39.8x；若仅增长10%，3年后PE约51.8x。投资者需结合行业增速和公司市场份额变化判断增速假设的合理性。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68.8倍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6.85倍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1351.73亿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4.28%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公司业绩超预期增长，若净利润增速&gt;30%则当前PE68.8x有望被快速消化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总市值1351.7亿元，适中的规模意味着业绩弹性较大，一旦基本面改善，利润和估值双升弹性显著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高估值回调风险：PE68.8倍处于高估值区间，若业绩不及预期可能面临"戴维斯双杀"（估值+业绩双重下修），PE从68.8x回落至34x可能导致股价腰斩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流动性风险：换手率4.28%，极端行情下可能出现流动性不足，大资金进出受限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高PB风险：PB6.85x需要高ROE支撑，若ROE下滑PB将面临均值回归压力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PE68.8x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换手率4.3%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PB6.8x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中材科技当前面临估值压力或基本面不确定性。建议等待更明确的信号（业绩拐点、行业催化剂）后再做判断。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PE68.8x虽高，若公司处于[]高景气赛道且增长确定性高，高估值可能被业绩消化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PE68.8x处于高位，估值回调风险是最大隐患——若业绩不及预期，可能面临杀估值+杀业绩双杀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PB6.85x偏高，需要持续较强的资本回报率来支撑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宏观经济波动可能影响中材科技的下游需求和盈利能力，系统性风险不可忽视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可比公司估值对照——对比[]内同体量上市公司的PE中位数和PB均值，判断中材科技的相对估值位置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