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青岛金王（002094）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青岛金王（002094）。所属行业为[]。总市值约32.2亿元，属中小型企业。主营业务围绕[]展开。PE约159.1倍，处于高估值成长区间。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青岛金王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002094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青岛金王所属[]行业。由于概念标签数据当前不可获取（Tushare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青岛金王在[]领域运营。以下基于行业通用框架和公开信息进行分析。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由PE159.1倍和总市值32.2亿元推导，公司年化净利润约2000万。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上游：原材料供应商和设备制造商（具体取决于[]细分环节）。对于青岛金王这类企业，关键原材料包括钢材、有色金属、电子元器件等基础工业品，采购来源相对分散。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推导年化净利润约2000万（=总市值32.2亿 ÷ PE159.1倍）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推导ROE约1.4%（=PB2.2 ÷ PE159.1）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青岛金王所在赛道：[]。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159.1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2.18x也处于合理水平，ROE与PB水平基本匹配。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32.20亿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公司业绩超预期增长，若净利润增速&gt;30%则当前PE159.1x有望被快速消化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高估值回调风险：PE159.1倍处于高估值区间，若业绩不及预期可能面临"戴维斯双杀"（估值+业绩双重下修），PE从159.1x回落至80x可能导致股价腰斩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青岛金王当前面临估值压力或基本面不确定性。建议等待更明确的信号（业绩拐点、行业催化剂）后再做判断。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PE159.1x虽高，若公司处于[]高景气赛道且增长确定性高，高估值可能被业绩消化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PE159.1x处于高位，估值回调风险是最大隐患——若业绩不及预期，可能面临杀估值+杀业绩双杀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宏观经济波动可能影响青岛金王的下游需求和盈利能力，系统性风险不可忽视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可比公司估值对照——对比[]内同体量上市公司的PE中位数和PB均值，判断青岛金王的相对估值位置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