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通富微电（002156）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ROE≈9.3% | 市值1036亿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通富微电（002156）。所属行业为[]。总市值约1036.1亿元，属大型企业。主营业务围绕[]展开。PE约71.6倍，处于高估值成长区间。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通富微电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1036.06亿元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通富微电所属[]行业。由于概念标签数据当前不可获取（Tushare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通富微电在[]领域运营。以下基于行业通用框架和公开信息进行分析。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从市值规模（1036.1亿元）判断，公司属于[]行业的大型平台型企业。在这个定位下，公司竞争策略可能以差异化产品或细分市场深耕为主，而非全品类价格战。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由PE71.6倍和总市值1036.1亿元推导，公司年化净利润约14.46亿。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若参考行业约7%的通用净利率水平，推导年营收约206.57亿。此为间接估算，准确数据请查阅公司最新年报。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上游：原材料供应商和设备制造商（具体取决于[]细分环节）。对于通富微电这类企业，关键原材料包括钢材、有色金属、电子元器件等基础工业品，采购来源相对分散。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推导年化净利润约14.46亿（=总市值1036.1亿 ÷ PE71.6倍）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推导ROE约9.3%（=PB6.7 ÷ PE71.6）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1036.06亿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通富微电所在赛道：[]。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71.6x处于中等偏高区间。PB 6.67x。核心矛盾在于未来2-3年净利润增速能否消化当前PE。以71.6x PE计算，若净利润年增长20%，3年后PE降至约41.4x；若仅增长10%，3年后PE约53.9x。投资者需结合行业增速和公司市场份额变化判断增速假设的合理性。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1036.06亿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公司业绩超预期增长，若净利润增速&gt;30%则当前PE71.6x有望被快速消化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总市值1036.1亿元，适中的规模意味着业绩弹性较大，一旦基本面改善，利润和估值双升弹性显著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高估值回调风险：PE71.6倍处于高估值区间，若业绩不及预期可能面临"戴维斯双杀"（估值+业绩双重下修），PE从71.6x回落至36x可能导致股价腰斩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换手率10.76%偏高，短线博弈资金占比大，价格波动可能加剧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高PB风险：PB6.67x需要高ROE支撑，若ROE下滑PB将面临均值回归压力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通富微电当前面临估值压力或基本面不确定性。建议等待更明确的信号（业绩拐点、行业催化剂）后再做判断。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PE71.6x虽高，若公司处于[]高景气赛道且增长确定性高，高估值可能被业绩消化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高换手率(10.8%)意味着市场关注度高，流动性充裕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PE71.6x处于高位，估值回调风险是最大隐患——若业绩不及预期，可能面临杀估值+杀业绩双杀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PB6.67x偏高，需要持续较强的资本回报率来支撑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宏观经济波动可能影响通富微电的下游需求和盈利能力，系统性风险不可忽视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可比公司估值对照——对比[]内同体量上市公司的PE中位数和PB均值，判断通富微电的相对估值位置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