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微软雅黑" w:hAnsi="微软雅黑" w:eastAsia="微软雅黑"/>
          <w:b/>
          <w:color w:val="1F4E79"/>
          <w:sz w:val="56"/>
        </w:rPr>
        <w:t>海得控制（002184）</w:t>
      </w:r>
    </w:p>
    <w:p>
      <w:pPr>
        <w:jc w:val="center"/>
      </w:pPr>
      <w:r>
        <w:rPr>
          <w:rFonts w:ascii="微软雅黑" w:hAnsi="微软雅黑" w:eastAsia="微软雅黑"/>
          <w:b w:val="0"/>
          <w:color w:val="2E75B6"/>
          <w:sz w:val="36"/>
        </w:rPr>
        <w:t>九章个股深度分析报告</w:t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4"/>
        </w:rPr>
        <w:t>[] | 市值37亿</w:t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1"/>
        </w:rPr>
        <w:t>分析日期：2026年06月22日</w:t>
      </w:r>
    </w:p>
    <w:p>
      <w:pPr>
        <w:jc w:val="center"/>
      </w:pPr>
      <w:r>
        <w:rPr>
          <w:rFonts w:ascii="微软雅黑" w:hAnsi="微软雅黑" w:eastAsia="微软雅黑"/>
          <w:b w:val="0"/>
          <w:color w:val="C00000"/>
          <w:sz w:val="18"/>
        </w:rPr>
        <w:t>⚠️ 本报告仅供研究参考，不构成投资建议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第一章 公司概览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海得控制（002184）。所属行业为[]。总市值约36.6亿元，属中小型企业。主营业务围绕[]展开。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1.1 基本信息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4536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公司全称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海得控制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股票代码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002184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所属行业（证监会）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[]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36.60亿元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1.2 概念标签</w:t>
      </w:r>
    </w:p>
    <w:p>
      <w:r>
        <w:rPr>
          <w:rFonts w:ascii="微软雅黑" w:hAnsi="微软雅黑" w:eastAsia="微软雅黑"/>
          <w:b w:val="0"/>
          <w:color w:val="999999"/>
          <w:sz w:val="18"/>
        </w:rPr>
        <w:t>海得控制所属[]行业。由于概念标签数据当前不可获取（Tushare API限频），此处不做杜撰。投资者可参考东方财富F10或同花顺个股页面获取完整概念覆盖。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第二章 主营业务分析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海得控制在[]领域运营。以下基于行业通用框架和公开信息进行分析。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从市值规模（36.6亿元）判断，公司属于[]行业的中小型企业。在这个定位下，公司竞争策略可能以差异化产品或细分市场深耕为主，而非全品类价格战。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2.1 营收结构（基于公开信息推导）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第三章 上下游合作对手</w:t>
      </w:r>
    </w:p>
    <w:p>
      <w:r>
        <w:rPr>
          <w:rFonts w:ascii="微软雅黑" w:hAnsi="微软雅黑" w:eastAsia="微软雅黑"/>
          <w:b w:val="0"/>
          <w:color w:val="C00000"/>
          <w:sz w:val="18"/>
        </w:rPr>
        <w:t>⚠️ 以下信息基于产业链推导，非公司实际披露。具体客户/供应商请以公司年报为准。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从[]行业的通用产业链位置来看：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上游：原材料供应商和设备制造商（具体取决于[]细分环节）。对于海得控制这类企业，关键原材料包括钢材、有色金属、电子元器件等基础工业品，采购来源相对分散。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下游：[]的下游客户通常分布在制造业、电子行业、新能源等领域。具体客户结构因公司业务模式（直销/经销）和产品类型而异，集中度是重要风险指标。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上市公司年报中通常会披露前五大客户和前五大供应商信息。前五大客户集中度&gt;50%为高风险（单客依赖），&lt;30%为风险较低。请以公司最新年报为准核实。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第四章 合同负债深度分析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合同负债（预收账款）是判断[]企业订单景气度的核心先行指标。完整数据请查阅公司最新季报资产负债表。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分析框架如下：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合同负债/营业收入比值：一般&gt;10%说明在手订单充足，&gt;20%说明订单非常饱满（如光伏设备、半导体设备类公司）。比值&lt;3%说明公司不依赖预收款模式（常见于大宗商品、消费品类）。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季度环比趋势：环比持续增长为积极信号（订单在积累）；连续下滑需关注订单萎缩或季节性因素。结合应收账款和存货三项指标可更全面判断经营景气度。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合同负债与应收账款的比例关系：预收（负债端）远大于应收（资产端）说明公司在产业链中议价能力强；反之则说明被下游占用资金。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第五章 财务全景分析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5.1 营收利润趋势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由于财务数据未从API完整获取，以下仅展示基于实时估值数据的分析框架。完整财务分析需查阅海得控制最新年度报告和季度报告。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5.2 资产负债表——基于公开数据的推断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资产负债率数据不可获取。对于[]行业，制造业企业通常资产负债率在40-60%区间为正常范围，超过70%需关注偿债压力。设备类企业固定资产占比高，折旧对利润侵蚀是重要关注点。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数值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来源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最新收盘价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36.60亿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流通市值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动态PE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baostock+腾讯交叉验证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市净率PB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2.88倍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baostock+腾讯交叉验证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2.31%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第六章 行业竞争格局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海得控制所在赛道：[]。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对于[]行业，竞争格局受以下维度主导：①市场份额和营收规模排名；②技术壁垒和研发投入（是否具备核心技术/专利护城河）；③客户关系和渠道覆盖（下游客户集中度）；④品牌影响力和定价权；⑤成本优势和规模效应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第七章 估值分析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估值指标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当前水平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动态PE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市净率PB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2.88倍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36.60亿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2.31%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偏低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第八章 催化剂与风险因素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8.1 利好催化剂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[]行业政策利好或下游需求爆发，带动公司订单增长和盈利改善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总市值36.6亿元，适中的规模意味着业绩弹性较大，一旦基本面改善，利润和估值双升弹性显著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新产品/技术突破带来产品结构升级和毛利率提升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⑥ 行业整合并购机会，龙头集中度提升趋势下份额加速扩张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8.2 风险清单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 xml:space="preserve"> ① 基本面风险：低PE可能隐含市场对盈利持续性的担忧，若利润进一步下滑将直接推高PE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② 流动性风险：换手率2.31%，极端行情下可能出现流动性不足，大资金进出受限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③ 行业竞争风险：[]领域竞争格局可能发生变化，技术迭代、新进入者或产能过剩都可能压缩利润率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④ 宏观经济风险：制造业景气度与PMI高度相关，经济下行将压制行业整体估值和公司盈利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⑤ 供应链与成本风险：上游原材料价格波动和供应稳定性是重要变量，特别是在地缘政治不确定性加大的背景下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第九章 投资总结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9.1 多维度评分表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评分维度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得分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依据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行业景气度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★★★☆☆ (3/5)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[]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估值合理性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概念覆盖度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数据不可用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流动性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换手率2.3%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成长性预期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风险可控性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★★★★★ (5/5)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PB2.9x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数据完整度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★☆☆☆☆ (1/5)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仅估值/K线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综合评分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** 17/35 **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</w:tbl>
    <w:p/>
    <w:p>
      <w:r>
        <w:rPr>
          <w:rFonts w:ascii="微软雅黑" w:hAnsi="微软雅黑" w:eastAsia="微软雅黑"/>
          <w:b/>
          <w:color w:val="808000"/>
          <w:sz w:val="32"/>
        </w:rPr>
        <w:t>综合评级：C级·中性（17/35）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9.2 核心结论</w:t>
      </w:r>
    </w:p>
    <w:p>
      <w:r>
        <w:rPr>
          <w:rFonts w:ascii="微软雅黑" w:hAnsi="微软雅黑" w:eastAsia="微软雅黑"/>
          <w:b/>
          <w:color w:val="1F4E79"/>
          <w:sz w:val="22"/>
        </w:rPr>
        <w:t>海得控制当前面临估值压力或基本面不确定性。建议等待更明确的信号（业绩拐点、行业催化剂）后再做判断。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看好逻辑：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行业前景：[]行业受益于国产替代和产业升级趋势，长期需求确定性较高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市值37亿元处于中小市值区间，业绩弹性大，盈利改善对股价的传导效率高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风险提示：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低PE有时反映市场对盈利下滑的担忧，需警惕"价值陷阱"——看似便宜但利润在缩水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换手率2.3%偏低，在需要止损时可能面临流动性不足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[]竞争加剧和技术迭代是基本面层面的核心风险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宏观经济波动可能影响海得控制的下游需求和盈利能力，系统性风险不可忽视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建议：保持观望，等待催化剂明朗化。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关键跟踪指标：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PE估值回归——关注PE相对近120日均值的偏离程度，回落至中位数附近可能是介入时机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营收及净利润季度增速——环比和同比趋势是判断业绩拐点的核心信号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合同负债变化——作为订单先行指标，持续增长确认行业景气度上行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换手率和成交量变化——资金面的资金流入流出信号，辅助判断市场情绪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行业催化事件——[]相关的政策利好、技术突破和龙头企业资本开支计划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⑥ 可比公司估值对照——对比[]内同体量上市公司的PE中位数和PB均值，判断海得控制的相对估值位置</w:t>
      </w:r>
    </w:p>
    <w:p>
      <w:r>
        <w:br w:type="page"/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1"/>
        </w:rPr>
        <w:t>=======================================================</w:t>
      </w:r>
    </w:p>
    <w:p>
      <w:pPr>
        <w:jc w:val="center"/>
      </w:pPr>
      <w:r>
        <w:rPr>
          <w:rFonts w:ascii="微软雅黑" w:hAnsi="微软雅黑" w:eastAsia="微软雅黑"/>
          <w:b/>
          <w:color w:val="1F4E79"/>
          <w:sz w:val="28"/>
        </w:rPr>
        <w:t>免责声明</w:t>
      </w:r>
    </w:p>
    <w:p>
      <w:r>
        <w:rPr>
          <w:rFonts w:ascii="微软雅黑" w:hAnsi="微软雅黑" w:eastAsia="微软雅黑"/>
          <w:b w:val="0"/>
          <w:color w:val="999999"/>
          <w:sz w:val="18"/>
        </w:rPr>
        <w:t>本报告基于公开数据和量化模型自动生成，不构成任何投资建议。报告中的评分、评级和结论仅供参考，不保证数据的完整性和准确性。部分财务指标由PE/PB/市值推导得出，非直接取自财务报表。投资者应查阅公司最新定期报告获取精确数据。股市有风险，投资需谨慎。过往表现不代表未来收益。</w:t>
      </w:r>
    </w:p>
    <w:p>
      <w:r>
        <w:rPr>
          <w:rFonts w:ascii="微软雅黑" w:hAnsi="微软雅黑" w:eastAsia="微软雅黑"/>
          <w:b w:val="0"/>
          <w:color w:val="BBBBBB"/>
          <w:sz w:val="16"/>
        </w:rPr>
        <w:t>数据来源：baostock（K线+行业+PE/PB）+ 腾讯股票API（实时行情）+ NeoData（产业链/新闻）  |  生成：2026-06-22 08:00</w:t>
      </w:r>
    </w:p>
    <w:p>
      <w:r>
        <w:rPr>
          <w:rFonts w:ascii="微软雅黑" w:hAnsi="微软雅黑" w:eastAsia="微软雅黑"/>
          <w:b w:val="0"/>
          <w:color w:val="007F00"/>
          <w:sz w:val="16"/>
        </w:rPr>
        <w:br/>
        <w:t>✅ 生成质检：已通过禁用词扫描。</w:t>
      </w:r>
    </w:p>
    <w:sectPr w:rsidR="00FC693F" w:rsidRPr="0006063C" w:rsidSect="00034616">
      <w:pgSz w:w="11906" w:h="16838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