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赛象科技（002337）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ROE≈3.8% | 市值28亿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赛象科技（002337）。所属行业为[]。总市值约28.4亿元，属中小型企业。主营业务围绕[]展开。PE约56.6倍，处于中等估值区间。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赛象科技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002337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28.43亿元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赛象科技所属[]行业。由于概念标签数据当前不可获取（Tushare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赛象科技在[]领域运营。以下基于行业通用框架和公开信息进行分析。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从市值规模（28.4亿元）判断，公司属于[]行业的中小型企业。在这个定位下，公司竞争策略可能以差异化产品或细分市场深耕为主，而非全品类价格战。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由PE56.6倍和总市值28.4亿元推导，公司年化净利润约5000万。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上游：原材料供应商和设备制造商（具体取决于[]细分环节）。对于赛象科技这类企业，关键原材料包括钢材、有色金属、电子元器件等基础工业品，采购来源相对分散。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推导年化净利润约5000万（=总市值28.4亿 ÷ PE56.6倍）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推导ROE约3.8%（=PB2.2 ÷ PE56.6）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28.43亿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56.6倍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赛象科技所在赛道：[]。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56.6x处于中等偏高区间。PB 2.16x。核心矛盾在于未来2-3年净利润增速能否消化当前PE。以56.6x PE计算，若净利润年增长20%，3年后PE降至约32.7x；若仅增长10%，3年后PE约42.6x。投资者需结合行业增速和公司市场份额变化判断增速假设的合理性。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56.6倍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28.43亿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公司业绩超预期增长，若净利润增速&gt;30%则当前PE56.6x有望被快速消化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总市值28.4亿元，适中的规模意味着业绩弹性较大，一旦基本面改善，利润和估值双升弹性显著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估值压缩风险：PE56.6倍处于中等偏上，若市场情绪转向或行业景气度下行，估值可能压缩至20-25倍区间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PE56.6x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赛象科技当前面临估值压力或基本面不确定性。建议等待更明确的信号（业绩拐点、行业催化剂）后再做判断。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PE56.6x处于行业可接受范围，若净利润增速&gt;20%将形成合理估值支撑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PE56.6x存在估值压缩风险，若市场情绪转向或增长放缓，可能挤压至合理区间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宏观经济波动可能影响赛象科技的下游需求和盈利能力，系统性风险不可忽视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可比公司估值对照——对比[]内同体量上市公司的PE中位数和PB均值，判断赛象科技的相对估值位置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