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新北洋（002376）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ROE≈2.2% | 市值49亿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新北洋（002376）。所属行业为[]。总市值约49.0亿元，属中小型企业。主营业务围绕[]展开。PE约61.5倍，处于高估值成长区间。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新北洋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002376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49.04亿元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新北洋所属[]行业。由于概念标签数据当前不可获取（Tushare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新北洋在[]领域运营。以下基于行业通用框架和公开信息进行分析。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从市值规模（49.0亿元）判断，公司属于[]行业的中小型企业。在这个定位下，公司竞争策略可能以差异化产品或细分市场深耕为主，而非全品类价格战。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由PE61.5倍和总市值49.0亿元推导，公司年化净利润约8000万。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若参考行业约7%的通用净利率水平，推导年营收约11.43亿。此为间接估算，准确数据请查阅公司最新年报。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上游：原材料供应商和设备制造商（具体取决于[]细分环节）。对于新北洋这类企业，关键原材料包括钢材、有色金属、电子元器件等基础工业品，采购来源相对分散。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推导年化净利润约8000万（=总市值49.0亿 ÷ PE61.5倍）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推导ROE约2.2%（=PB1.3 ÷ PE61.5）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49.04亿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61.5倍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1.34倍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1.13%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8000万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新北洋所在赛道：[]。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61.5x处于中等偏高区间。PB 1.34x。核心矛盾在于未来2-3年净利润增速能否消化当前PE。以61.5x PE计算，若净利润年增长20%，3年后PE降至约35.5x；若仅增长10%，3年后PE约46.2x。投资者需结合行业增速和公司市场份额变化判断增速假设的合理性。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61.5倍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1.34倍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49.04亿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1.13%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公司业绩超预期增长，若净利润增速&gt;30%则当前PE61.5x有望被快速消化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总市值49.0亿元，适中的规模意味着业绩弹性较大，一旦基本面改善，利润和估值双升弹性显著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高估值回调风险：PE61.5倍处于高估值区间，若业绩不及预期可能面临"戴维斯双杀"（估值+业绩双重下修），PE从61.5x回落至31x可能导致股价腰斩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流动性风险：换手率1.13%，极端行情下可能出现流动性不足，大资金进出受限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PE61.5x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换手率1.1%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PB1.3x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18/35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综合评级：C级·中性（18/35）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新北洋当前面临估值压力或基本面不确定性。建议等待更明确的信号（业绩拐点、行业催化剂）后再做判断。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PE61.5x虽高，若公司处于[]高景气赛道且增长确定性高，高估值可能被业绩消化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市值49亿元处于中小市值区间，业绩弹性大，盈利改善对股价的传导效率高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PE61.5x处于高位，估值回调风险是最大隐患——若业绩不及预期，可能面临杀估值+杀业绩双杀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换手率1.1%偏低，在需要止损时可能面临流动性不足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宏观经济波动可能影响新北洋的下游需求和盈利能力，系统性风险不可忽视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可比公司估值对照——对比[]内同体量上市公司的PE中位数和PB均值，判断新北洋的相对估值位置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08:02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