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日上集团（002593）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ROE≈5.3%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日上集团（002593）。所属行业为[]。总市值约34.8亿元，属中小型企业。主营业务围绕[]展开。PE约27.2倍，处于中等估值区间。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日上集团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002593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34.81亿元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日上集团所属[]行业。由于概念标签数据当前不可获取（Tushare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日上集团在[]领域运营。以下基于行业通用框架和公开信息进行分析。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从市值规模（34.8亿元）判断，公司属于[]行业的中小型企业。在这个定位下，公司竞争策略可能以差异化产品或细分市场深耕为主，而非全品类价格战。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由PE27.2倍和总市值34.8亿元推导，公司年化净利润约1.28亿。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若参考行业约7%的通用净利率水平，推导年营收约18.29亿。此为间接估算，准确数据请查阅公司最新年报。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上游：原材料供应商和设备制造商（具体取决于[]细分环节）。对于日上集团这类企业，关键原材料包括钢材、有色金属、电子元器件等基础工业品，采购来源相对分散。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推导年化净利润约1.28亿（=总市值34.8亿 ÷ PE27.2倍）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推导ROE约5.3%（=PB1.4 ÷ PE27.2）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34.81亿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日上集团所在赛道：[]。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27.2x、PB 1.43x处于行业中枢水平。估值的关键在于ROE（推导约5.3%）能否支撑当前PB，以及利润增速是否匹配PE水平。PE 27.2x隐含了约3.7%的盈利收益率期望。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34.81亿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公司业绩超预期增长，若净利润增速&gt;30%则当前PE27.2x有望被快速消化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总市值34.8亿元，适中的规模意味着业绩弹性较大，一旦基本面改善，利润和估值双升弹性显著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PE27.2x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日上集团具有一定投资价值，但存在局部短板。建议在理解风险的前提下适度关注。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估值优势：PE27.2x处于A股中等偏低水平，若业绩改善确认，估值修复空间明确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宏观经济波动可能影响日上集团的下游需求和盈利能力，系统性风险不可忽视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可比公司估值对照——对比[]内同体量上市公司的PE中位数和PB均值，判断日上集团的相对估值位置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