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煌上煌（002695）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ROE≈3.0%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煌上煌（002695）。所属行业为[]。总市值约63.7亿元，属中型企业。主营业务围绕[]展开。PE约76.9倍，处于高估值成长区间。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煌上煌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煌上煌所属[]行业。由于概念标签数据当前不可获取（Tushare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煌上煌在[]领域运营。以下基于行业通用框架和公开信息进行分析。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从市值规模（63.7亿元）判断，公司属于[]行业的中型专业化企业。在这个定位下，公司竞争策略可能以差异化产品或细分市场深耕为主，而非全品类价格战。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由PE76.9倍和总市值63.7亿元推导，公司年化净利润约8300万。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上游：原材料供应商和设备制造商（具体取决于[]细分环节）。对于煌上煌这类企业，关键原材料包括钢材、有色金属、电子元器件等基础工业品，采购来源相对分散。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推导年化净利润约8300万（=总市值63.7亿 ÷ PE76.9倍）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推导ROE约3.0%（=PB2.3 ÷ PE76.9）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煌上煌所在赛道：[]。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76.9x处于中等偏高区间。PB 2.31x。核心矛盾在于未来2-3年净利润增速能否消化当前PE。以76.9x PE计算，若净利润年增长20%，3年后PE降至约44.4x；若仅增长10%，3年后PE约57.8x。投资者需结合行业增速和公司市场份额变化判断增速假设的合理性。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高估值回调风险：PE76.9倍处于高估值区间，若业绩不及预期可能面临"戴维斯双杀"（估值+业绩双重下修），PE从76.9x回落至38x可能导致股价腰斩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煌上煌当前面临估值压力或基本面不确定性。建议等待更明确的信号（业绩拐点、行业催化剂）后再做判断。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PE76.9x虽高，若公司处于[]高景气赛道且增长确定性高，高估值可能被业绩消化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PE76.9x处于高位，估值回调风险是最大隐患——若业绩不及预期，可能面临杀估值+杀业绩双杀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宏观经济波动可能影响煌上煌的下游需求和盈利能力，系统性风险不可忽视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可比公司估值对照——对比[]内同体量上市公司的PE中位数和PB均值，判断煌上煌的相对估值位置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