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金一文化（002721）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ROE≈3.9% | 市值62亿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金一文化（002721）。所属行业为[]。总市值约62.0亿元，属中型企业。主营业务围绕[]展开。PE约74.2倍，处于高估值成长区间。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金一文化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002721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金一文化所属[]行业。由于概念标签数据当前不可获取（Tushare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金一文化在[]领域运营。以下基于行业通用框架和公开信息进行分析。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从市值规模（62.0亿元）判断，公司属于[]行业的中型专业化企业。在这个定位下，公司竞争策略可能以差异化产品或细分市场深耕为主，而非全品类价格战。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由PE74.2倍和总市值62.0亿元推导，公司年化净利润约8400万。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上游：原材料供应商和设备制造商（具体取决于[]细分环节）。对于金一文化这类企业，关键原材料包括钢材、有色金属、电子元器件等基础工业品，采购来源相对分散。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推导年化净利润约8400万（=总市值62.0亿 ÷ PE74.2倍）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推导ROE约3.9%（=PB2.9 ÷ PE74.2）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8400万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金一文化所在赛道：[]。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74.2x处于中等偏高区间。PB 2.88x。核心矛盾在于未来2-3年净利润增速能否消化当前PE。以74.2x PE计算，若净利润年增长20%，3年后PE降至约42.9x；若仅增长10%，3年后PE约55.8x。投资者需结合行业增速和公司市场份额变化判断增速假设的合理性。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74.2倍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2.88倍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61.96亿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公司业绩超预期增长，若净利润增速&gt;30%则当前PE74.2x有望被快速消化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总市值62.0亿元，适中的规模意味着业绩弹性较大，一旦基本面改善，利润和估值双升弹性显著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高估值回调风险：PE74.2倍处于高估值区间，若业绩不及预期可能面临"戴维斯双杀"（估值+业绩双重下修），PE从74.2x回落至37x可能导致股价腰斩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PE74.2x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PB2.9x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金一文化当前面临估值压力或基本面不确定性。建议等待更明确的信号（业绩拐点、行业催化剂）后再做判断。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PE74.2x虽高，若公司处于[]高景气赛道且增长确定性高，高估值可能被业绩消化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市值62亿元处于中小市值区间，业绩弹性大，盈利改善对股价的传导效率高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PE74.2x处于高位，估值回调风险是最大隐患——若业绩不及预期，可能面临杀估值+杀业绩双杀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换手率1.1%偏低，在需要止损时可能面临流动性不足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宏观经济波动可能影响金一文化的下游需求和盈利能力，系统性风险不可忽视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可比公司估值对照——对比[]内同体量上市公司的PE中位数和PB均值，判断金一文化的相对估值位置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08:06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