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世龙实业（002748）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ROE≈5.0% | 市值25亿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世龙实业（002748）。所属行业为[]。总市值约25.2亿元，属中小型企业。主营业务围绕[]展开。PE约35.1倍，处于中等估值区间。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世龙实业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002748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世龙实业所属[]行业。由于概念标签数据当前不可获取（Tushare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世龙实业在[]领域运营。以下基于行业通用框架和公开信息进行分析。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从市值规模（25.2亿元）判断，公司属于[]行业的中小型企业。在这个定位下，公司竞争策略可能以差异化产品或细分市场深耕为主，而非全品类价格战。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由PE35.1倍和总市值25.2亿元推导，公司年化净利润约7200万。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若参考行业约7%的通用净利率水平，推导年营收约10.29亿。此为间接估算，准确数据请查阅公司最新年报。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上游：原材料供应商和设备制造商（具体取决于[]细分环节）。对于世龙实业这类企业，关键原材料包括钢材、有色金属、电子元器件等基础工业品，采购来源相对分散。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推导年化净利润约7200万（=总市值25.2亿 ÷ PE35.1倍）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推导ROE约5.0%（=PB1.8 ÷ PE35.1）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7200万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世龙实业所在赛道：[]。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35.1x、PB 1.77x处于行业中枢水平。估值的关键在于ROE（推导约5.0%）能否支撑当前PB，以及利润增速是否匹配PE水平。PE 35.1x隐含了约2.9%的盈利收益率期望。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35.1倍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中等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25.22亿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公司业绩超预期增长，若净利润增速&gt;30%则当前PE35.1x有望被快速消化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总市值25.2亿元，适中的规模意味着业绩弹性较大，一旦基本面改善，利润和估值双升弹性显著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估值压缩风险：PE35.1倍处于中等偏上，若市场情绪转向或行业景气度下行，估值可能压缩至20-25倍区间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流动性风险：换手率1.99%，极端行情下可能出现流动性不足，大资金进出受限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PE35.1x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世龙实业具有一定投资价值，但存在局部短板。建议在理解风险的前提下适度关注。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PE35.1x处于行业可接受范围，若净利润增速&gt;20%将形成合理估值支撑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宏观经济波动可能影响世龙实业的下游需求和盈利能力，系统性风险不可忽视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可比公司估值对照——对比[]内同体量上市公司的PE中位数和PB均值，判断世龙实业的相对估值位置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