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郑中设计（002811）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ROE≈11.6% | 市值36亿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郑中设计（002811）。所属行业为[]。总市值约36.2亿元，属中小型企业。主营业务围绕[]展开。PE约21.9倍，处于低估值区间。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郑中设计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002811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36.16亿元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郑中设计所属[]行业。由于概念标签数据当前不可获取（Tushare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郑中设计在[]领域运营。以下基于行业通用框架和公开信息进行分析。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从市值规模（36.2亿元）判断，公司属于[]行业的中小型企业。在这个定位下，公司竞争策略可能以差异化产品或细分市场深耕为主，而非全品类价格战。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由PE21.9倍和总市值36.2亿元推导，公司年化净利润约1.65亿。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若参考行业约7%的通用净利率水平，推导年营收约23.57亿。此为间接估算，准确数据请查阅公司最新年报。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上游：原材料供应商和设备制造商（具体取决于[]细分环节）。对于郑中设计这类企业，关键原材料包括钢材、有色金属、电子元器件等基础工业品，采购来源相对分散。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推导年化净利润约1.65亿（=总市值36.2亿 ÷ PE21.9倍）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推导ROE约11.6%（=PB2.5 ÷ PE21.9）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36.16亿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21.9倍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2.54倍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1.58%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1.65亿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11.6%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郑中设计所在赛道：[]。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21.9x处于低估值区间，PB 2.54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21.9倍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2.54倍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36.16亿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1.58%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11.6%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良好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公司业绩超预期增长，若净利润增速&gt;30%则当前PE21.9x有望被快速消化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总市值36.2亿元，适中的规模意味着业绩弹性较大，一旦基本面改善，利润和估值双升弹性显著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流动性风险：换手率1.58%，极端行情下可能出现流动性不足，大资金进出受限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PE21.9x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换手率1.6%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PB2.5x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22/35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综合评级：B级·推荐-B（22/35）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郑中设计具有一定投资价值，但存在局部短板。建议在理解风险的前提下适度关注。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估值优势：PE21.9x处于A股中等偏低水平，若业绩改善确认，估值修复空间明确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ROE11.6%处于良好水平，显示公司资本运用效率较高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市值36亿元处于中小市值区间，业绩弹性大，盈利改善对股价的传导效率高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换手率1.6%偏低，在需要止损时可能面临流动性不足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宏观经济波动可能影响郑中设计的下游需求和盈利能力，系统性风险不可忽视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可比公司估值对照——对比[]内同体量上市公司的PE中位数和PB均值，判断郑中设计的相对估值位置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08:07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