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名雕股份（002830）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名雕股份（002830）。所属行业为[]。总市值约27.3亿元，属中小型企业。主营业务围绕[]展开。PE约63.0倍，处于高估值成长区间。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名雕股份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名雕股份所属[]行业。由于概念标签数据当前不可获取（Tushare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名雕股份在[]领域运营。以下基于行业通用框架和公开信息进行分析。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由PE63.0倍和总市值27.3亿元推导，公司年化净利润约4300万。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上游：原材料供应商和设备制造商（具体取决于[]细分环节）。对于名雕股份这类企业，关键原材料包括钢材、有色金属、电子元器件等基础工业品，采购来源相对分散。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推导年化净利润约4300万（=总市值27.3亿 ÷ PE63.0倍）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推导ROE约6.6%（=PB4.2 ÷ PE63.0）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名雕股份所在赛道：[]。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63.0x处于中等偏高区间。PB 4.15x。核心矛盾在于未来2-3年净利润增速能否消化当前PE。以63.0x PE计算，若净利润年增长20%，3年后PE降至约36.4x；若仅增长10%，3年后PE约47.4x。投资者需结合行业增速和公司市场份额变化判断增速假设的合理性。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公司业绩超预期增长，若净利润增速&gt;30%则当前PE63.0x有望被快速消化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高估值回调风险：PE63.0倍处于高估值区间，若业绩不及预期可能面临"戴维斯双杀"（估值+业绩双重下修），PE从63.0x回落至32x可能导致股价腰斩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换手率10.09%偏高，短线博弈资金占比大，价格波动可能加剧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名雕股份当前面临估值压力或基本面不确定性。建议等待更明确的信号（业绩拐点、行业催化剂）后再做判断。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PE63.0x虽高，若公司处于[]高景气赛道且增长确定性高，高估值可能被业绩消化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高换手率(10.1%)意味着市场关注度高，流动性充裕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PE63.0x处于高位，估值回调风险是最大隐患——若业绩不及预期，可能面临杀估值+杀业绩双杀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宏观经济波动可能影响名雕股份的下游需求和盈利能力，系统性风险不可忽视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可比公司估值对照——对比[]内同体量上市公司的PE中位数和PB均值，判断名雕股份的相对估值位置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