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京能热力（002893）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ROE≈4.7%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京能热力（002893）。所属行业为[]。总市值约26.9亿元，属中小型企业。主营业务围绕[]展开。PE约41.3倍，处于中等估值区间。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京能热力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002893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京能热力所属[]行业。由于概念标签数据当前不可获取（Tushare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京能热力在[]领域运营。以下基于行业通用框架和公开信息进行分析。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由PE41.3倍和总市值26.9亿元推导，公司年化净利润约6500万。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上游：原材料供应商和设备制造商（具体取决于[]细分环节）。对于京能热力这类企业，关键原材料包括钢材、有色金属、电子元器件等基础工业品，采购来源相对分散。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推导年化净利润约6500万（=总市值26.9亿 ÷ PE41.3倍）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推导ROE约4.7%（=PB1.9 ÷ PE41.3）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京能热力所在赛道：[]。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41.3x、PB 1.94x处于行业中枢水平。估值的关键在于ROE（推导约4.7%）能否支撑当前PB，以及利润增速是否匹配PE水平。PE 41.3x隐含了约2.4%的盈利收益率期望。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公司业绩超预期增长，若净利润增速&gt;30%则当前PE41.3x有望被快速消化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估值压缩风险：PE41.3倍处于中等偏上，若市场情绪转向或行业景气度下行，估值可能压缩至20-25倍区间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换手率9.00%适中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换手率9.0%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京能热力具有一定投资价值，但存在局部短板。建议在理解风险的前提下适度关注。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PE41.3x存在估值压缩风险，若市场情绪转向或增长放缓，可能挤压至合理区间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宏观经济波动可能影响京能热力的下游需求和盈利能力，系统性风险不可忽视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可比公司估值对照——对比[]内同体量上市公司的PE中位数和PB均值，判断京能热力的相对估值位置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