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蒙娜丽莎（002918）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ROE≈2.9% | 市值47亿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蒙娜丽莎（002918）。所属行业为[]。总市值约46.7亿元，属中小型企业。主营业务围绕[]展开。PE约49.9倍，处于中等估值区间。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蒙娜丽莎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002918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46.73亿元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蒙娜丽莎所属[]行业。由于概念标签数据当前不可获取（Tushare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蒙娜丽莎在[]领域运营。以下基于行业通用框架和公开信息进行分析。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从市值规模（46.7亿元）判断，公司属于[]行业的中小型企业。在这个定位下，公司竞争策略可能以差异化产品或细分市场深耕为主，而非全品类价格战。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由PE49.9倍和总市值46.7亿元推导，公司年化净利润约9400万。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若参考行业约7%的通用净利率水平，推导年营收约13.43亿。此为间接估算，准确数据请查阅公司最新年报。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上游：原材料供应商和设备制造商（具体取决于[]细分环节）。对于蒙娜丽莎这类企业，关键原材料包括钢材、有色金属、电子元器件等基础工业品，采购来源相对分散。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推导年化净利润约9400万（=总市值46.7亿 ÷ PE49.9倍）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推导ROE约2.9%（=PB1.5 ÷ PE49.9）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46.73亿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49.9倍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18.63%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9400万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蒙娜丽莎所在赛道：[]。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49.9x、PB 1.46x处于行业中枢水平。估值的关键在于ROE（推导约2.9%）能否支撑当前PB，以及利润增速是否匹配PE水平。PE 49.9x隐含了约2.0%的盈利收益率期望。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49.9倍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46.73亿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18.63%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活跃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公司业绩超预期增长，若净利润增速&gt;30%则当前PE49.9x有望被快速消化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总市值46.7亿元，适中的规模意味着业绩弹性较大，一旦基本面改善，利润和估值双升弹性显著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估值压缩风险：PE49.9倍处于中等偏上，若市场情绪转向或行业景气度下行，估值可能压缩至20-25倍区间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换手率18.63%偏高，短线博弈资金占比大，价格波动可能加剧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PE49.9x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换手率18.6%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23/35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综合评级：B级·推荐-B（23/35）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蒙娜丽莎具有一定投资价值，但存在局部短板。建议在理解风险的前提下适度关注。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PE49.9x处于行业可接受范围，若净利润增速&gt;20%将形成合理估值支撑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市值47亿元处于中小市值区间，业绩弹性大，盈利改善对股价的传导效率高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高换手率(18.6%)意味着市场关注度高，流动性充裕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PE49.9x存在估值压缩风险，若市场情绪转向或增长放缓，可能挤压至合理区间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宏观经济波动可能影响蒙娜丽莎的下游需求和盈利能力，系统性风险不可忽视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可比公司估值对照——对比[]内同体量上市公司的PE中位数和PB均值，判断蒙娜丽莎的相对估值位置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08:08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