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亚世光电（002952）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ROE≈1.7% | 市值38亿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亚世光电（002952）。所属行业为[]。总市值约38.0亿元，属中小型企业。主营业务围绕[]展开。PE约250.9倍，处于高估值成长区间。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亚世光电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002952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38.03亿元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亚世光电所属[]行业。由于概念标签数据当前不可获取（Tushare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亚世光电在[]领域运营。以下基于行业通用框架和公开信息进行分析。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从市值规模（38.0亿元）判断，公司属于[]行业的中小型企业。在这个定位下，公司竞争策略可能以差异化产品或细分市场深耕为主，而非全品类价格战。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由PE250.9倍和总市值38.0亿元推导，公司年化净利润约1500万。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若参考行业约7%的通用净利率水平，推导年营收约2.14亿。此为间接估算，准确数据请查阅公司最新年报。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上游：原材料供应商和设备制造商（具体取决于[]细分环节）。对于亚世光电这类企业，关键原材料包括钢材、有色金属、电子元器件等基础工业品，采购来源相对分散。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推导年化净利润约1500万（=总市值38.0亿 ÷ PE250.9倍）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推导ROE约1.7%（=PB4.4 ÷ PE250.9）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38.03亿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250.9倍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4.36倍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6.37%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亚世光电所在赛道：[]。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250.9x属于高估值区间。市场给予高估值的逻辑是什么？如果公司处于[]高景气赛道且有确定性的高增长（营收增速&gt;30%、利润率在改善），高PE可能有基本面支撑。但如果增长逻辑不清晰，当前PE存在较大的均值回归风险。PB 4.36x也处于合理水平，若ROE不能持续维持在&gt;13%的水平，PB难以维持当前高位。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250.9倍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4.36倍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38.03亿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6.37%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公司业绩超预期增长，若净利润增速&gt;30%则当前PE250.9x有望被快速消化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总市值38.0亿元，适中的规模意味着业绩弹性较大，一旦基本面改善，利润和估值双升弹性显著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高估值回调风险：PE250.9倍处于高估值区间，若业绩不及预期可能面临"戴维斯双杀"（估值+业绩双重下修），PE从250.9x回落至125x可能导致股价腰斩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② 换手率6.37%适中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PE250.9x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换手率6.4%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PB4.4x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亚世光电当前面临估值压力或基本面不确定性。建议等待更明确的信号（业绩拐点、行业催化剂）后再做判断。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PE250.9x虽高，若公司处于[]高景气赛道且增长确定性高，高估值可能被业绩消化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市值38亿元处于中小市值区间，业绩弹性大，盈利改善对股价的传导效率高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PE250.9x处于高位，估值回调风险是最大隐患——若业绩不及预期，可能面临杀估值+杀业绩双杀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宏观经济波动可能影响亚世光电的下游需求和盈利能力，系统性风险不可忽视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可比公司估值对照——对比[]内同体量上市公司的PE中位数和PB均值，判断亚世光电的相对估值位置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08:08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