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优彩资源（002998）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ROE≈4.0%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优彩资源（002998）。所属行业为[]。总市值约25.0亿元，属中小型企业。主营业务围绕[]展开。PE约36.5倍，处于中等估值区间。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优彩资源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优彩资源所属[]行业。由于概念标签数据当前不可获取（Tushare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优彩资源在[]领域运营。以下基于行业通用框架和公开信息进行分析。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由PE36.5倍和总市值25.0亿元推导，公司年化净利润约6900万。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上游：原材料供应商和设备制造商（具体取决于[]细分环节）。对于优彩资源这类企业，关键原材料包括钢材、有色金属、电子元器件等基础工业品，采购来源相对分散。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推导年化净利润约6900万（=总市值25.0亿 ÷ PE36.5倍）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推导ROE约4.0%（=PB1.5 ÷ PE36.5）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优彩资源所在赛道：[]。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36.5x、PB 1.47x处于行业中枢水平。估值的关键在于ROE（推导约4.0%）能否支撑当前PB，以及利润增速是否匹配PE水平。PE 36.5x隐含了约2.7%的盈利收益率期望。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估值压缩风险：PE36.5倍处于中等偏上，若市场情绪转向或行业景气度下行，估值可能压缩至20-25倍区间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流动性风险：换手率3.82%，极端行情下可能出现流动性不足，大资金进出受限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优彩资源具有一定投资价值，但存在局部短板。建议在理解风险的前提下适度关注。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PE36.5x处于行业可接受范围，若净利润增速&gt;20%将形成合理估值支撑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宏观经济波动可能影响优彩资源的下游需求和盈利能力，系统性风险不可忽视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可比公司估值对照——对比[]内同体量上市公司的PE中位数和PB均值，判断优彩资源的相对估值位置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