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劲仔食品（003000）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ROE≈18.4%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劲仔食品（003000）。所属行业为[]。总市值约43.7亿元，属中小型企业。主营业务围绕[]展开。PE约17.8倍，处于低估值区间。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劲仔食品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劲仔食品所属[]行业。由于概念标签数据当前不可获取（Tushare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劲仔食品在[]领域运营。以下基于行业通用框架和公开信息进行分析。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由PE17.8倍和总市值43.7亿元推导，公司年化净利润约2.46亿。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上游：原材料供应商和设备制造商（具体取决于[]细分环节）。对于劲仔食品这类企业，关键原材料包括钢材、有色金属、电子元器件等基础工业品，采购来源相对分散。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推导年化净利润约2.46亿（=总市值43.7亿 ÷ PE17.8倍）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推导ROE约18.4%（=PB3.3 ÷ PE17.8）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劲仔食品所在赛道：[]。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17.8x处于低估值区间，PB 3.26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劲仔食品具有一定投资价值，但存在局部短板。建议在理解风险的前提下适度关注。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宏观经济波动可能影响劲仔食品的下游需求和盈利能力，系统性风险不可忽视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可比公司估值对照——对比[]内同体量上市公司的PE中位数和PB均值，判断劲仔食品的相对估值位置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