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古越龙山（600059）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ROE≈3.8% | 市值71亿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古越龙山（600059）。所属行业为[]。总市值约70.6亿元，属中型企业。主营业务围绕[]展开。PE约31.4倍，处于中等估值区间。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古越龙山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600059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70.64亿元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古越龙山所属[]行业。由于概念标签数据当前不可获取（Tushare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古越龙山在[]领域运营。以下基于行业通用框架和公开信息进行分析。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从市值规模（70.6亿元）判断，公司属于[]行业的中型专业化企业。在这个定位下，公司竞争策略可能以差异化产品或细分市场深耕为主，而非全品类价格战。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由PE31.4倍和总市值70.6亿元推导，公司年化净利润约2.25亿。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若参考行业约7%的通用净利率水平，推导年营收约32.14亿。此为间接估算，准确数据请查阅公司最新年报。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上游：原材料供应商和设备制造商（具体取决于[]细分环节）。对于古越龙山这类企业，关键原材料包括钢材、有色金属、电子元器件等基础工业品，采购来源相对分散。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推导年化净利润约2.25亿（=总市值70.6亿 ÷ PE31.4倍）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推导ROE约3.8%（=PB1.2 ÷ PE31.4）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70.64亿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古越龙山所在赛道：[]。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31.4x、PB 1.20x处于行业中枢水平。估值的关键在于ROE（推导约3.8%）能否支撑当前PB，以及利润增速是否匹配PE水平。PE 31.4x隐含了约3.2%的盈利收益率期望。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70.64亿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公司业绩超预期增长，若净利润增速&gt;30%则当前PE31.4x有望被快速消化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总市值70.6亿元，适中的规模意味着业绩弹性较大，一旦基本面改善，利润和估值双升弹性显著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估值压缩风险：PE31.4倍处于中等偏上，若市场情绪转向或行业景气度下行，估值可能压缩至20-25倍区间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流动性风险：换手率0.70%，极端行情下可能出现流动性不足，大资金进出受限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PE31.4x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古越龙山具有一定投资价值，但存在局部短板。建议在理解风险的前提下适度关注。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PE31.4x处于行业可接受范围，若净利润增速&gt;20%将形成合理估值支撑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市值71亿元处于中小市值区间，业绩弹性大，盈利改善对股价的传导效率高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换手率0.7%偏低，在需要止损时可能面临流动性不足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宏观经济波动可能影响古越龙山的下游需求和盈利能力，系统性风险不可忽视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可比公司估值对照——对比[]内同体量上市公司的PE中位数和PB均值，判断古越龙山的相对估值位置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