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大名城（600094）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ROE≈1.4% | 市值94亿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大名城（600094）。所属行业为[]。总市值约94.2亿元，属中型企业。主营业务围绕[]展开。PE约65.3倍，处于高估值成长区间。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大名城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600094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94.16亿元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大名城所属[]行业。由于概念标签数据当前不可获取（Tushare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大名城在[]领域运营。以下基于行业通用框架和公开信息进行分析。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从市值规模（94.2亿元）判断，公司属于[]行业的中型专业化企业。在这个定位下，公司竞争策略可能以差异化产品或细分市场深耕为主，而非全品类价格战。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由PE65.3倍和总市值94.2亿元推导，公司年化净利润约1.44亿。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若参考行业约7%的通用净利率水平，推导年营收约20.57亿。此为间接估算，准确数据请查阅公司最新年报。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上游：原材料供应商和设备制造商（具体取决于[]细分环节）。对于大名城这类企业，关键原材料包括钢材、有色金属、电子元器件等基础工业品，采购来源相对分散。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推导年化净利润约1.44亿（=总市值94.2亿 ÷ PE65.3倍）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推导ROE约1.4%（=PB0.9 ÷ PE65.3）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94.16亿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大名城所在赛道：[]。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65.3x处于中等偏高区间。PB 0.92x。核心矛盾在于未来2-3年净利润增速能否消化当前PE。以65.3x PE计算，若净利润年增长20%，3年后PE降至约37.7x；若仅增长10%，3年后PE约49.1x。投资者需结合行业增速和公司市场份额变化判断增速假设的合理性。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94.16亿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高估值回调风险：PE65.3倍处于高估值区间，若业绩不及预期可能面临"戴维斯双杀"（估值+业绩双重下修），PE从65.3x回落至33x可能导致股价腰斩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大名城当前面临估值压力或基本面不确定性。建议等待更明确的信号（业绩拐点、行业催化剂）后再做判断。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PE65.3x虽高，若公司处于[]高景气赛道且增长确定性高，高估值可能被业绩消化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PE65.3x处于高位，估值回调风险是最大隐患——若业绩不及预期，可能面临杀估值+杀业绩双杀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宏观经济波动可能影响大名城的下游需求和盈利能力，系统性风险不可忽视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可比公司估值对照——对比[]内同体量上市公司的PE中位数和PB均值，判断大名城的相对估值位置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