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北方稀土（600111）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ROE≈10.9% | 市值1858亿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北方稀土（600111）。所属行业为[]。总市值约1858.1亿元，属大型企业。主营业务围绕[]展开。PE约67.9倍，处于高估值成长区间。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北方稀土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600111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1858.14亿元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北方稀土所属[]行业。由于概念标签数据当前不可获取（Tushare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北方稀土在[]领域运营。以下基于行业通用框架和公开信息进行分析。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从市值规模（1858.1亿元）判断，公司属于[]行业的大型平台型企业。在这个定位下，公司竞争策略可能以差异化产品或细分市场深耕为主，而非全品类价格战。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由PE67.9倍和总市值1858.1亿元推导，公司年化净利润约27.38亿。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若参考行业约7%的通用净利率水平，推导年营收约391.14亿。此为间接估算，准确数据请查阅公司最新年报。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上游：原材料供应商和设备制造商（具体取决于[]细分环节）。对于北方稀土这类企业，关键原材料包括钢材、有色金属、电子元器件等基础工业品，采购来源相对分散。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推导年化净利润约27.38亿（=总市值1858.1亿 ÷ PE67.9倍）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推导ROE约10.9%（=PB7.4 ÷ PE67.9）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1858.14亿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67.9倍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北方稀土所在赛道：[]。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67.9x处于中等偏高区间。PB 7.40x。核心矛盾在于未来2-3年净利润增速能否消化当前PE。以67.9x PE计算，若净利润年增长20%，3年后PE降至约39.2x；若仅增长10%，3年后PE约51.0x。投资者需结合行业增速和公司市场份额变化判断增速假设的合理性。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67.9倍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1858.14亿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公司业绩超预期增长，若净利润增速&gt;30%则当前PE67.9x有望被快速消化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总市值1858.1亿元，适中的规模意味着业绩弹性较大，一旦基本面改善，利润和估值双升弹性显著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高估值回调风险：PE67.9倍处于高估值区间，若业绩不及预期可能面临"戴维斯双杀"（估值+业绩双重下修），PE从67.9x回落至34x可能导致股价腰斩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换手率5.00%适中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高PB风险：PB7.40x需要高ROE支撑，若ROE下滑PB将面临均值回归压力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PE67.9x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北方稀土当前面临估值压力或基本面不确定性。建议等待更明确的信号（业绩拐点、行业催化剂）后再做判断。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PE67.9x虽高，若公司处于[]高景气赛道且增长确定性高，高估值可能被业绩消化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ROE10.9%处于良好水平，显示公司资本运用效率较高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PE67.9x处于高位，估值回调风险是最大隐患——若业绩不及预期，可能面临杀估值+杀业绩双杀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PB7.40x偏高，需要持续较强的资本回报率来支撑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宏观经济波动可能影响北方稀土的下游需求和盈利能力，系统性风险不可忽视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可比公司估值对照——对比[]内同体量上市公司的PE中位数和PB均值，判断北方稀土的相对估值位置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