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4E79"/>
          <w:sz w:val="56"/>
        </w:rPr>
        <w:t>乐凯胶片（600135）</w:t>
      </w:r>
    </w:p>
    <w:p>
      <w:pPr>
        <w:jc w:val="center"/>
      </w:pPr>
      <w:r>
        <w:rPr>
          <w:rFonts w:ascii="微软雅黑" w:hAnsi="微软雅黑" w:eastAsia="微软雅黑"/>
          <w:b w:val="0"/>
          <w:color w:val="2E75B6"/>
          <w:sz w:val="36"/>
        </w:rPr>
        <w:t>九章个股深度分析报告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4"/>
        </w:rPr>
        <w:t>[] | 市值48亿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分析日期：2026年06月22日</w:t>
      </w:r>
    </w:p>
    <w:p>
      <w:pPr>
        <w:jc w:val="center"/>
      </w:pPr>
      <w:r>
        <w:rPr>
          <w:rFonts w:ascii="微软雅黑" w:hAnsi="微软雅黑" w:eastAsia="微软雅黑"/>
          <w:b w:val="0"/>
          <w:color w:val="C00000"/>
          <w:sz w:val="18"/>
        </w:rPr>
        <w:t>⚠️ 本报告仅供研究参考，不构成投资建议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第一章 公司概览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乐凯胶片（600135）。所属行业为[]。总市值约48.4亿元，属中小型企业。主营业务围绕[]展开。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1.1 基本信息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公司全称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乐凯胶片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股票代码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600135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所属行业（证监会）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48.41亿元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1.2 概念标签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乐凯胶片所属[]行业。由于概念标签数据当前不可获取（Tushare API限频），此处不做杜撰。投资者可参考东方财富F10或同花顺个股页面获取完整概念覆盖。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第二章 主营业务分析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乐凯胶片在[]领域运营。以下基于行业通用框架和公开信息进行分析。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从市值规模（48.4亿元）判断，公司属于[]行业的中小型企业。在这个定位下，公司竞争策略可能以差异化产品或细分市场深耕为主，而非全品类价格战。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2.1 营收结构（基于公开信息推导）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第三章 上下游合作对手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以下信息基于产业链推导，非公司实际披露。具体客户/供应商请以公司年报为准。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从[]行业的通用产业链位置来看：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上游：原材料供应商和设备制造商（具体取决于[]细分环节）。对于乐凯胶片这类企业，关键原材料包括钢材、有色金属、电子元器件等基础工业品，采购来源相对分散。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下游：[]的下游客户通常分布在制造业、电子行业、新能源等领域。具体客户结构因公司业务模式（直销/经销）和产品类型而异，集中度是重要风险指标。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上市公司年报中通常会披露前五大客户和前五大供应商信息。前五大客户集中度&gt;50%为高风险（单客依赖），&lt;30%为风险较低。请以公司最新年报为准核实。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第四章 合同负债深度分析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合同负债（预收账款）是判断[]企业订单景气度的核心先行指标。完整数据请查阅公司最新季报资产负债表。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分析框架如下：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合同负债/营业收入比值：一般&gt;10%说明在手订单充足，&gt;20%说明订单非常饱满（如光伏设备、半导体设备类公司）。比值&lt;3%说明公司不依赖预收款模式（常见于大宗商品、消费品类）。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季度环比趋势：环比持续增长为积极信号（订单在积累）；连续下滑需关注订单萎缩或季节性因素。结合应收账款和存货三项指标可更全面判断经营景气度。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合同负债与应收账款的比例关系：预收（负债端）远大于应收（资产端）说明公司在产业链中议价能力强；反之则说明被下游占用资金。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第五章 财务全景分析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5.1 营收利润趋势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由于财务数据未从API完整获取，以下仅展示基于实时估值数据的分析框架。完整财务分析需查阅乐凯胶片最新年度报告和季度报告。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5.2 资产负债表——基于公开数据的推断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资产负债率数据不可获取。对于[]行业，制造业企业通常资产负债率在40-60%区间为正常范围，超过70%需关注偿债压力。设备类企业固定资产占比高，折旧对利润侵蚀是重要关注点。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数值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来源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最新收盘价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48.41亿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流通市值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2.06倍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2.10%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第六章 行业竞争格局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乐凯胶片所在赛道：[]。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对于[]行业，竞争格局受以下维度主导：①市场份额和营收规模排名；②技术壁垒和研发投入（是否具备核心技术/专利护城河）；③客户关系和渠道覆盖（下游客户集中度）；④品牌影响力和定价权；⑤成本优势和规模效应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第七章 估值分析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估值指标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当前水平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2.06倍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48.41亿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2.10%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偏低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第八章 催化剂与风险因素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8.1 利好催化剂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[]行业政策利好或下游需求爆发，带动公司订单增长和盈利改善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总市值48.4亿元，适中的规模意味着业绩弹性较大，一旦基本面改善，利润和估值双升弹性显著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新产品/技术突破带来产品结构升级和毛利率提升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行业整合并购机会，龙头集中度提升趋势下份额加速扩张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8.2 风险清单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 xml:space="preserve"> ① 基本面风险：低PE可能隐含市场对盈利持续性的担忧，若利润进一步下滑将直接推高PE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② 流动性风险：换手率2.10%，极端行情下可能出现流动性不足，大资金进出受限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③ 行业竞争风险：[]领域竞争格局可能发生变化，技术迭代、新进入者或产能过剩都可能压缩利润率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④ 宏观经济风险：制造业景气度与PMI高度相关，经济下行将压制行业整体估值和公司盈利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⑤ 供应链与成本风险：上游原材料价格波动和供应稳定性是重要变量，特别是在地缘政治不确定性加大的背景下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第九章 投资总结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9.1 多维度评分表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评分维度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得分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依据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行业景气度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★★★☆☆ (3/5)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估值合理性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概念覆盖度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数据不可用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流动性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换手率2.1%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成长性预期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风险可控性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★★★★★ (5/5)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PB2.1x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数据完整度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★☆☆☆☆ (1/5)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仅估值/K线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综合评分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** 17/35 **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</w:tbl>
    <w:p/>
    <w:p>
      <w:r>
        <w:rPr>
          <w:rFonts w:ascii="微软雅黑" w:hAnsi="微软雅黑" w:eastAsia="微软雅黑"/>
          <w:b/>
          <w:color w:val="808000"/>
          <w:sz w:val="32"/>
        </w:rPr>
        <w:t>综合评级：C级·中性（17/35）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9.2 核心结论</w:t>
      </w:r>
    </w:p>
    <w:p>
      <w:r>
        <w:rPr>
          <w:rFonts w:ascii="微软雅黑" w:hAnsi="微软雅黑" w:eastAsia="微软雅黑"/>
          <w:b/>
          <w:color w:val="1F4E79"/>
          <w:sz w:val="22"/>
        </w:rPr>
        <w:t>乐凯胶片当前面临估值压力或基本面不确定性。建议等待更明确的信号（业绩拐点、行业催化剂）后再做判断。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看好逻辑：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行业前景：[]行业受益于国产替代和产业升级趋势，长期需求确定性较高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市值48亿元处于中小市值区间，业绩弹性大，盈利改善对股价的传导效率高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风险提示：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低PE有时反映市场对盈利下滑的担忧，需警惕"价值陷阱"——看似便宜但利润在缩水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换手率2.1%偏低，在需要止损时可能面临流动性不足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[]竞争加剧和技术迭代是基本面层面的核心风险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宏观经济波动可能影响乐凯胶片的下游需求和盈利能力，系统性风险不可忽视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建议：保持观望，等待催化剂明朗化。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关键跟踪指标：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PE估值回归——关注PE相对近120日均值的偏离程度，回落至中位数附近可能是介入时机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营收及净利润季度增速——环比和同比趋势是判断业绩拐点的核心信号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合同负债变化——作为订单先行指标，持续增长确认行业景气度上行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换手率和成交量变化——资金面的资金流入流出信号，辅助判断市场情绪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行业催化事件——[]相关的政策利好、技术突破和龙头企业资本开支计划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可比公司估值对照——对比[]内同体量上市公司的PE中位数和PB均值，判断乐凯胶片的相对估值位置</w:t>
      </w:r>
    </w:p>
    <w:p>
      <w:r>
        <w:br w:type="page"/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=======================================================</w:t>
      </w:r>
    </w:p>
    <w:p>
      <w:pPr>
        <w:jc w:val="center"/>
      </w:pPr>
      <w:r>
        <w:rPr>
          <w:rFonts w:ascii="微软雅黑" w:hAnsi="微软雅黑" w:eastAsia="微软雅黑"/>
          <w:b/>
          <w:color w:val="1F4E79"/>
          <w:sz w:val="28"/>
        </w:rPr>
        <w:t>免责声明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本报告基于公开数据和量化模型自动生成，不构成任何投资建议。报告中的评分、评级和结论仅供参考，不保证数据的完整性和准确性。部分财务指标由PE/PB/市值推导得出，非直接取自财务报表。投资者应查阅公司最新定期报告获取精确数据。股市有风险，投资需谨慎。过往表现不代表未来收益。</w:t>
      </w:r>
    </w:p>
    <w:p>
      <w:r>
        <w:rPr>
          <w:rFonts w:ascii="微软雅黑" w:hAnsi="微软雅黑" w:eastAsia="微软雅黑"/>
          <w:b w:val="0"/>
          <w:color w:val="BBBBBB"/>
          <w:sz w:val="16"/>
        </w:rPr>
        <w:t>数据来源：baostock（K线+行业+PE/PB）+ 腾讯股票API（实时行情）+ NeoData（产业链/新闻）  |  生成：2026-06-22 08:10</w:t>
      </w:r>
    </w:p>
    <w:p>
      <w:r>
        <w:rPr>
          <w:rFonts w:ascii="微软雅黑" w:hAnsi="微软雅黑" w:eastAsia="微软雅黑"/>
          <w:b w:val="0"/>
          <w:color w:val="007F00"/>
          <w:sz w:val="16"/>
        </w:rPr>
        <w:br/>
        <w:t>✅ 生成质检：已通过禁用词扫描。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