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廊坊发展（600149）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ROE≈6.3%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廊坊发展（600149）。所属行业为[]。总市值约18.1亿元，属中小型企业。主营业务围绕[]展开。PE约112.5倍，处于高估值成长区间。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廊坊发展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600149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廊坊发展所属[]行业。由于概念标签数据当前不可获取（Tushare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廊坊发展在[]领域运营。以下基于行业通用框架和公开信息进行分析。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由PE112.5倍和总市值18.1亿元推导，公司年化净利润约1600万。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上游：原材料供应商和设备制造商（具体取决于[]细分环节）。对于廊坊发展这类企业，关键原材料包括钢材、有色金属、电子元器件等基础工业品，采购来源相对分散。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推导年化净利润约1600万（=总市值18.1亿 ÷ PE112.5倍）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推导ROE约6.3%（=PB7.1 ÷ PE112.5）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112.5倍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廊坊发展所在赛道：[]。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112.5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7.09x也处于中等偏高水平，若ROE不能持续维持在&gt;21%的水平，PB难以维持当前高位。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112.5倍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公司业绩超预期增长，若净利润增速&gt;30%则当前PE112.5x有望被快速消化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高估值回调风险：PE112.5倍处于高估值区间，若业绩不及预期可能面临"戴维斯双杀"（估值+业绩双重下修），PE从112.5x回落至56x可能导致股价腰斩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高PB风险：PB7.09x需要高ROE支撑，若ROE下滑PB将面临均值回归压力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廊坊发展当前面临较多不确定性，且数据支撑不足。建议以外围观察为主，不急于参与。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PE112.5x虽高，若公司处于[]高景气赛道且增长确定性高，高估值可能被业绩消化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PE112.5x处于高位，估值回调风险是最大隐患——若业绩不及预期，可能面临杀估值+杀业绩双杀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PB7.09x偏高，需要持续较强的资本回报率来支撑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宏观经济波动可能影响廊坊发展的下游需求和盈利能力，系统性风险不可忽视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可比公司估值对照——对比[]内同体量上市公司的PE中位数和PB均值，判断廊坊发展的相对估值位置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