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莲花控股（600186）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ROE≈18.6% | 市值256亿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莲花控股（600186）。所属行业为[]。总市值约256.0亿元，属中大型企业。主营业务围绕[]展开。PE约72.8倍，处于高估值成长区间。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莲花控股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600186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256.01亿元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莲花控股所属[]行业。由于概念标签数据当前不可获取（Tushare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莲花控股在[]领域运营。以下基于行业通用框架和公开信息进行分析。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从市值规模（256.0亿元）判断，公司属于[]行业的中大型企业。在这个定位下，公司竞争策略可能以差异化产品或细分市场深耕为主，而非全品类价格战。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由PE72.8倍和总市值256.0亿元推导，公司年化净利润约3.52亿。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若参考行业约7%的通用净利率水平，推导年营收约50.29亿。此为间接估算，准确数据请查阅公司最新年报。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上游：原材料供应商和设备制造商（具体取决于[]细分环节）。对于莲花控股这类企业，关键原材料包括钢材、有色金属、电子元器件等基础工业品，采购来源相对分散。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推导年化净利润约3.52亿（=总市值256.0亿 ÷ PE72.8倍）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推导ROE约18.6%（=PB13.6 ÷ PE72.8）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256.01亿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72.8倍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13.56倍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19.86%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3.52亿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莲花控股所在赛道：[]。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72.8x处于中等偏高区间。PB 13.56x。核心矛盾在于未来2-3年净利润增速能否消化当前PE。以72.8x PE计算，若净利润年增长20%，3年后PE降至约42.1x；若仅增长10%，3年后PE约54.7x。投资者需结合行业增速和公司市场份额变化判断增速假设的合理性。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72.8倍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13.56倍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256.01亿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19.86%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活跃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公司业绩超预期增长，若净利润增速&gt;30%则当前PE72.8x有望被快速消化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总市值256.0亿元，适中的规模意味着业绩弹性较大，一旦基本面改善，利润和估值双升弹性显著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高估值回调风险：PE72.8倍处于高估值区间，若业绩不及预期可能面临"戴维斯双杀"（估值+业绩双重下修），PE从72.8x回落至36x可能导致股价腰斩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换手率19.86%偏高，短线博弈资金占比大，价格波动可能加剧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高PB风险：PB13.56x需要高ROE支撑，若ROE下滑PB将面临均值回归压力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PE72.8x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换手率19.9%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PB13.6x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莲花控股当前面临估值压力或基本面不确定性。建议等待更明确的信号（业绩拐点、行业催化剂）后再做判断。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PE72.8x虽高，若公司处于[]高景气赛道且增长确定性高，高估值可能被业绩消化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ROE18.6%处于良好水平，显示公司资本运用效率较高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市值256亿元处于中小市值区间，业绩弹性大，盈利改善对股价的传导效率高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高换手率(19.9%)意味着市场关注度高，流动性充裕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PE72.8x处于高位，估值回调风险是最大隐患——若业绩不及预期，可能面临杀估值+杀业绩双杀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PB13.56x需要极强ROE支撑，若ROE无法持续&gt;20%，PB将面临均值回归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宏观经济波动可能影响莲花控股的下游需求和盈利能力，系统性风险不可忽视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可比公司估值对照——对比[]内同体量上市公司的PE中位数和PB均值，判断莲花控股的相对估值位置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