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泉阳泉（600189）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市值55亿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泉阳泉（600189）。所属行业为[]。总市值约54.7亿元，属中型企业。主营业务围绕[]展开。PE约273.4倍，处于高估值成长区间。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泉阳泉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54.71亿元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泉阳泉所属[]行业。由于概念标签数据当前不可获取（Tushare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泉阳泉在[]领域运营。以下基于行业通用框架和公开信息进行分析。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从市值规模（54.7亿元）判断，公司属于[]行业的中型专业化企业。在这个定位下，公司竞争策略可能以差异化产品或细分市场深耕为主，而非全品类价格战。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由PE273.4倍和总市值54.7亿元推导，公司年化净利润约2000万。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上游：原材料供应商和设备制造商（具体取决于[]细分环节）。对于泉阳泉这类企业，关键原材料包括钢材、有色金属、电子元器件等基础工业品，采购来源相对分散。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推导年化净利润约2000万（=总市值54.7亿 ÷ PE273.4倍）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推导ROE约1.6%（=PB4.4 ÷ PE273.4）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泉阳泉所在赛道：[]。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273.4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4.43x也处于合理水平，若ROE不能持续维持在&gt;13%的水平，PB难以维持当前高位。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高估值回调风险：PE273.4倍处于高估值区间，若业绩不及预期可能面临"戴维斯双杀"（估值+业绩双重下修），PE从273.4x回落至137x可能导致股价腰斩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泉阳泉当前面临估值压力或基本面不确定性。建议等待更明确的信号（业绩拐点、行业催化剂）后再做判断。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PE273.4x虽高，若公司处于[]高景气赛道且增长确定性高，高估值可能被业绩消化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PE273.4x处于高位，估值回调风险是最大隐患——若业绩不及预期，可能面临杀估值+杀业绩双杀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宏观经济波动可能影响泉阳泉的下游需求和盈利能力，系统性风险不可忽视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可比公司估值对照——对比[]内同体量上市公司的PE中位数和PB均值，判断泉阳泉的相对估值位置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