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金鹰股份（600232）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ROE≈3.8% | 市值25亿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金鹰股份（600232）。所属行业为[]。总市值约24.6亿元，属中小型企业。主营业务围绕[]展开。PE约67.3倍，处于高估值成长区间。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金鹰股份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600232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24.65亿元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金鹰股份所属[]行业。由于概念标签数据当前不可获取（Tushare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金鹰股份在[]领域运营。以下基于行业通用框架和公开信息进行分析。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由PE67.3倍和总市值24.6亿元推导，公司年化净利润约3700万。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上游：原材料供应商和设备制造商（具体取决于[]细分环节）。对于金鹰股份这类企业，关键原材料包括钢材、有色金属、电子元器件等基础工业品，采购来源相对分散。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推导年化净利润约3700万（=总市值24.6亿 ÷ PE67.3倍）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推导ROE约3.8%（=PB2.6 ÷ PE67.3）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24.65亿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67.3倍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金鹰股份所在赛道：[]。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67.3x处于中等偏高区间。PB 2.56x。核心矛盾在于未来2-3年净利润增速能否消化当前PE。以67.3x PE计算，若净利润年增长20%，3年后PE降至约38.9x；若仅增长10%，3年后PE约50.6x。投资者需结合行业增速和公司市场份额变化判断增速假设的合理性。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67.3倍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24.65亿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公司业绩超预期增长，若净利润增速&gt;30%则当前PE67.3x有望被快速消化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高估值回调风险：PE67.3倍处于高估值区间，若业绩不及预期可能面临"戴维斯双杀"（估值+业绩双重下修），PE从67.3x回落至34x可能导致股价腰斩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PE67.3x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金鹰股份当前面临估值压力或基本面不确定性。建议等待更明确的信号（业绩拐点、行业催化剂）后再做判断。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PE67.3x虽高，若公司处于[]高景气赛道且增长确定性高，高估值可能被业绩消化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PE67.3x处于高位，估值回调风险是最大隐患——若业绩不及预期，可能面临杀估值+杀业绩双杀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宏观经济波动可能影响金鹰股份的下游需求和盈利能力，系统性风险不可忽视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可比公司估值对照——对比[]内同体量上市公司的PE中位数和PB均值，判断金鹰股份的相对估值位置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