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恒顺醋业（600305）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ROE≈4.5% | 市值73亿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恒顺醋业（600305）。所属行业为[]。总市值约72.9亿元，属中型企业。主营业务围绕[]展开。PE约47.4倍，处于中等估值区间。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恒顺醋业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600305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72.91亿元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恒顺醋业所属[]行业。由于概念标签数据当前不可获取（Tushare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恒顺醋业在[]领域运营。以下基于行业通用框架和公开信息进行分析。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从市值规模（72.9亿元）判断，公司属于[]行业的中型专业化企业。在这个定位下，公司竞争策略可能以差异化产品或细分市场深耕为主，而非全品类价格战。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由PE47.4倍和总市值72.9亿元推导，公司年化净利润约1.54亿。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若参考行业约7%的通用净利率水平，推导年营收约22.00亿。此为间接估算，准确数据请查阅公司最新年报。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上游：原材料供应商和设备制造商（具体取决于[]细分环节）。对于恒顺醋业这类企业，关键原材料包括钢材、有色金属、电子元器件等基础工业品，采购来源相对分散。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推导年化净利润约1.54亿（=总市值72.9亿 ÷ PE47.4倍）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推导ROE约4.5%（=PB2.1 ÷ PE47.4）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恒顺醋业所在赛道：[]。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47.4x、PB 2.13x处于行业中枢水平。估值的关键在于ROE（推导约4.5%）能否支撑当前PB，以及利润增速是否匹配PE水平。PE 47.4x隐含了约2.1%的盈利收益率期望。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公司业绩超预期增长，若净利润增速&gt;30%则当前PE47.4x有望被快速消化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总市值72.9亿元，适中的规模意味着业绩弹性较大，一旦基本面改善，利润和估值双升弹性显著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估值压缩风险：PE47.4倍处于中等偏上，若市场情绪转向或行业景气度下行，估值可能压缩至20-25倍区间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流动性风险：换手率0.49%，极端行情下可能出现流动性不足，大资金进出受限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PE47.4x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恒顺醋业当前面临估值压力或基本面不确定性。建议等待更明确的信号（业绩拐点、行业催化剂）后再做判断。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PE47.4x处于行业可接受范围，若净利润增速&gt;20%将形成合理估值支撑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市值73亿元处于中小市值区间，业绩弹性大，盈利改善对股价的传导效率高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PE47.4x存在估值压缩风险，若市场情绪转向或增长放缓，可能挤压至合理区间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宏观经济波动可能影响恒顺醋业的下游需求和盈利能力，系统性风险不可忽视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可比公司估值对照——对比[]内同体量上市公司的PE中位数和PB均值，判断恒顺醋业的相对估值位置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