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上海家化（600315）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ROE≈3.8% | 市值118亿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上海家化（600315）。所属行业为[]。总市值约118.2亿元，属中大型企业。主营业务围绕[]展开。PE约43.4倍，处于中等估值区间。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上海家化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600315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118.24亿元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上海家化所属[]行业。由于概念标签数据当前不可获取（Tushare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上海家化在[]领域运营。以下基于行业通用框架和公开信息进行分析。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从市值规模（118.2亿元）判断，公司属于[]行业的中大型企业。在这个定位下，公司竞争策略可能以差异化产品或细分市场深耕为主，而非全品类价格战。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由PE43.4倍和总市值118.2亿元推导，公司年化净利润约2.73亿。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若参考行业约7%的通用净利率水平，推导年营收约39.00亿。此为间接估算，准确数据请查阅公司最新年报。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上游：原材料供应商和设备制造商（具体取决于[]细分环节）。对于上海家化这类企业，关键原材料包括钢材、有色金属、电子元器件等基础工业品，采购来源相对分散。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推导年化净利润约2.73亿（=总市值118.2亿 ÷ PE43.4倍）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推导ROE约3.8%（=PB1.7 ÷ PE43.4）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118.24亿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上海家化所在赛道：[]。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43.4x、PB 1.67x处于行业中枢水平。估值的关键在于ROE（推导约3.8%）能否支撑当前PB，以及利润增速是否匹配PE水平。PE 43.4x隐含了约2.3%的盈利收益率期望。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118.24亿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公司业绩超预期增长，若净利润增速&gt;30%则当前PE43.4x有望被快速消化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总市值118.2亿元，适中的规模意味着业绩弹性较大，一旦基本面改善，利润和估值双升弹性显著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估值压缩风险：PE43.4倍处于中等偏上，若市场情绪转向或行业景气度下行，估值可能压缩至20-25倍区间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流动性风险：换手率0.82%，极端行情下可能出现流动性不足，大资金进出受限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PE43.4x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上海家化当前面临估值压力或基本面不确定性。建议等待更明确的信号（业绩拐点、行业催化剂）后再做判断。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PE43.4x处于行业可接受范围，若净利润增速&gt;20%将形成合理估值支撑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市值118亿元处于中小市值区间，业绩弹性大，盈利改善对股价的传导效率高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PE43.4x存在估值压缩风险，若市场情绪转向或增长放缓，可能挤压至合理区间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宏观经济波动可能影响上海家化的下游需求和盈利能力，系统性风险不可忽视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可比公司估值对照——对比[]内同体量上市公司的PE中位数和PB均值，判断上海家化的相对估值位置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