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长春燃气（600333）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ROE≈0.6% | 市值33亿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长春燃气（600333）。所属行业为[]。总市值约32.8亿元，属中小型企业。主营业务围绕[]展开。PE约282.9倍，处于高估值成长区间。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长春燃气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600333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32.77亿元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长春燃气所属[]行业。由于概念标签数据当前不可获取（Tushare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长春燃气在[]领域运营。以下基于行业通用框架和公开信息进行分析。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从市值规模（32.8亿元）判断，公司属于[]行业的中小型企业。在这个定位下，公司竞争策略可能以差异化产品或细分市场深耕为主，而非全品类价格战。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由PE282.9倍和总市值32.8亿元推导，公司年化净利润约1200万。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上游：原材料供应商和设备制造商（具体取决于[]细分环节）。对于长春燃气这类企业，关键原材料包括钢材、有色金属、电子元器件等基础工业品，采购来源相对分散。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推导年化净利润约1200万（=总市值32.8亿 ÷ PE282.9倍）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推导ROE约0.6%（=PB1.7 ÷ PE282.9）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32.77亿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282.9倍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长春燃气所在赛道：[]。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282.9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1.69x也处于合理水平，ROE与PB水平基本匹配。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282.9倍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32.77亿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公司业绩超预期增长，若净利润增速&gt;30%则当前PE282.9x有望被快速消化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总市值32.8亿元，适中的规模意味着业绩弹性较大，一旦基本面改善，利润和估值双升弹性显著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高估值回调风险：PE282.9倍处于高估值区间，若业绩不及预期可能面临"戴维斯双杀"（估值+业绩双重下修），PE从282.9x回落至141x可能导致股价腰斩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流动性风险：换手率2.45%，极端行情下可能出现流动性不足，大资金进出受限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PE282.9x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长春燃气当前面临估值压力或基本面不确定性。建议等待更明确的信号（业绩拐点、行业催化剂）后再做判断。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PE282.9x虽高，若公司处于[]高景气赛道且增长确定性高，高估值可能被业绩消化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PE282.9x处于高位，估值回调风险是最大隐患——若业绩不及预期，可能面临杀估值+杀业绩双杀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宏观经济波动可能影响长春燃气的下游需求和盈利能力，系统性风险不可忽视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可比公司估值对照——对比[]内同体量上市公司的PE中位数和PB均值，判断长春燃气的相对估值位置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