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恒丰纸业（600356）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ROE≈7.3% | 市值27亿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恒丰纸业（600356）。所属行业为[]。总市值约26.6亿元，属中小型企业。主营业务围绕[]展开。PE约11.7倍，处于低估值区间。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恒丰纸业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600356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26.56亿元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恒丰纸业所属[]行业。由于概念标签数据当前不可获取（Tushare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恒丰纸业在[]领域运营。以下基于行业通用框架和公开信息进行分析。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从市值规模（26.6亿元）判断，公司属于[]行业的中小型企业。在这个定位下，公司竞争策略可能以差异化产品或细分市场深耕为主，而非全品类价格战。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由PE11.7倍和总市值26.6亿元推导，公司年化净利润约2.27亿。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若参考行业约7%的通用净利率水平，推导年营收约32.43亿。此为间接估算，准确数据请查阅公司最新年报。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上游：原材料供应商和设备制造商（具体取决于[]细分环节）。对于恒丰纸业这类企业，关键原材料包括钢材、有色金属、电子元器件等基础工业品，采购来源相对分散。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推导年化净利润约2.27亿（=总市值26.6亿 ÷ PE11.7倍）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推导ROE约7.3%（=PB0.9 ÷ PE11.7）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26.56亿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恒丰纸业所在赛道：[]。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11.7x处于低估值区间，PB 0.86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26.56亿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公司业绩超预期增长，若净利润增速&gt;30%则当前PE11.7x有望被快速消化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总市值26.6亿元，适中的规模意味着业绩弹性较大，一旦基本面改善，利润和估值双升弹性显著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流动性风险：换手率1.32%，极端行情下可能出现流动性不足，大资金进出受限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PE11.7x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19/35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综合评级：C级·中性（19/35）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恒丰纸业当前面临估值压力或基本面不确定性。建议等待更明确的信号（业绩拐点、行业催化剂）后再做判断。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估值优势：PE11.7x处于A股中等偏低水平，若业绩改善确认，估值修复空间明确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换手率1.3%偏低，在需要止损时可能面临流动性不足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宏观经济波动可能影响恒丰纸业的下游需求和盈利能力，系统性风险不可忽视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可比公司估值对照——对比[]内同体量上市公司的PE中位数和PB均值，判断恒丰纸业的相对估值位置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