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江南高纤（600527）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ROE≈1.1%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江南高纤（600527）。所属行业为[]。总市值约39.5亿元，属中小型企业。主营业务围绕[]展开。PE约180.3倍，处于高估值成长区间。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江南高纤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600527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江南高纤所属[]行业。由于概念标签数据当前不可获取（Tushare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江南高纤在[]领域运营。以下基于行业通用框架和公开信息进行分析。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由PE180.3倍和总市值39.5亿元推导，公司年化净利润约2200万。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上游：原材料供应商和设备制造商（具体取决于[]细分环节）。对于江南高纤这类企业，关键原材料包括钢材、有色金属、电子元器件等基础工业品，采购来源相对分散。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推导年化净利润约2200万（=总市值39.5亿 ÷ PE180.3倍）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推导ROE约1.1%（=PB1.9 ÷ PE180.3）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江南高纤所在赛道：[]。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180.3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1.90x也处于合理水平，ROE与PB水平基本匹配。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公司业绩超预期增长，若净利润增速&gt;30%则当前PE180.3x有望被快速消化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高估值回调风险：PE180.3倍处于高估值区间，若业绩不及预期可能面临"戴维斯双杀"（估值+业绩双重下修），PE从180.3x回落至90x可能导致股价腰斩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流动性风险：换手率4.64%，极端行情下可能出现流动性不足，大资金进出受限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PE180.3x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江南高纤当前面临估值压力或基本面不确定性。建议等待更明确的信号（业绩拐点、行业催化剂）后再做判断。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PE180.3x虽高，若公司处于[]高景气赛道且增长确定性高，高估值可能被业绩消化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PE180.3x处于高位，估值回调风险是最大隐患——若业绩不及预期，可能面临杀估值+杀业绩双杀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宏观经济波动可能影响江南高纤的下游需求和盈利能力，系统性风险不可忽视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可比公司估值对照——对比[]内同体量上市公司的PE中位数和PB均值，判断江南高纤的相对估值位置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