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浙数文化（600633）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ROE≈5.8% | 市值138亿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浙数文化（600633）。所属行业为[]。总市值约138.5亿元，属中大型企业。主营业务围绕[]展开。PE约23.5倍，处于低估值区间。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浙数文化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138.47亿元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浙数文化所属[]行业。由于概念标签数据当前不可获取（Tushare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浙数文化在[]领域运营。以下基于行业通用框架和公开信息进行分析。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从市值规模（138.5亿元）判断，公司属于[]行业的中大型企业。在这个定位下，公司竞争策略可能以差异化产品或细分市场深耕为主，而非全品类价格战。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由PE23.5倍和总市值138.5亿元推导，公司年化净利润约5.89亿。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上游：原材料供应商和设备制造商（具体取决于[]细分环节）。对于浙数文化这类企业，关键原材料包括钢材、有色金属、电子元器件等基础工业品，采购来源相对分散。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推导年化净利润约5.89亿（=总市值138.5亿 ÷ PE23.5倍）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推导ROE约5.8%（=PB1.4 ÷ PE23.5）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浙数文化所在赛道：[]。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23.5x处于低估值区间，PB 1.36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浙数文化具有一定投资价值，但存在局部短板。建议在理解风险的前提下适度关注。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宏观经济波动可能影响浙数文化的下游需求和盈利能力，系统性风险不可忽视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可比公司估值对照——对比[]内同体量上市公司的PE中位数和PB均值，判断浙数文化的相对估值位置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