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上海三毛（600689）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ROE≈2.5% | 市值22亿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上海三毛（600689）。所属行业为[]。总市值约21.5亿元，属中小型企业。主营业务围绕[]展开。PE约185.2倍，处于高估值成长区间。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上海三毛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600689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21.53亿元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上海三毛所属[]行业。由于概念标签数据当前不可获取（Tushare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上海三毛在[]领域运营。以下基于行业通用框架和公开信息进行分析。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从市值规模（21.5亿元）判断，公司属于[]行业的中小型企业。在这个定位下，公司竞争策略可能以差异化产品或细分市场深耕为主，而非全品类价格战。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由PE185.2倍和总市值21.5亿元推导，公司年化净利润约1200万。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若参考行业约7%的通用净利率水平，推导年营收约1.71亿。此为间接估算，准确数据请查阅公司最新年报。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上游：原材料供应商和设备制造商（具体取决于[]细分环节）。对于上海三毛这类企业，关键原材料包括钢材、有色金属、电子元器件等基础工业品，采购来源相对分散。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推导年化净利润约1200万（=总市值21.5亿 ÷ PE185.2倍）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推导ROE约2.5%（=PB4.5 ÷ PE185.2）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21.53亿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185.2倍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4.54倍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1.65%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1200万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上海三毛所在赛道：[]。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185.2x属于高估值区间。市场给予高估值的逻辑是什么？如果公司处于[]高景气赛道且有确定性的高增长（营收增速&gt;30%、利润率在改善），高PE可能有基本面支撑。但如果增长逻辑不清晰，当前PE存在较大的均值回归风险。PB 4.54x也处于合理水平，若ROE不能持续维持在&gt;13%的水平，PB难以维持当前高位。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185.2倍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高估值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4.54倍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21.53亿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1.65%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公司业绩超预期增长，若净利润增速&gt;30%则当前PE185.2x有望被快速消化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总市值21.5亿元，适中的规模意味着业绩弹性较大，一旦基本面改善，利润和估值双升弹性显著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高估值回调风险：PE185.2倍处于高估值区间，若业绩不及预期可能面临"戴维斯双杀"（估值+业绩双重下修），PE从185.2x回落至93x可能导致股价腰斩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流动性风险：换手率1.65%，极端行情下可能出现流动性不足，大资金进出受限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PE185.2x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换手率1.6%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PB4.5x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16/35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综合评级：C级·中性（16/35）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上海三毛当前面临估值压力或基本面不确定性。建议等待更明确的信号（业绩拐点、行业催化剂）后再做判断。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PE185.2x虽高，若公司处于[]高景气赛道且增长确定性高，高估值可能被业绩消化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PE185.2x处于高位，估值回调风险是最大隐患——若业绩不及预期，可能面临杀估值+杀业绩双杀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换手率1.6%偏低，在需要止损时可能面临流动性不足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宏观经济波动可能影响上海三毛的下游需求和盈利能力，系统性风险不可忽视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可比公司估值对照——对比[]内同体量上市公司的PE中位数和PB均值，判断上海三毛的相对估值位置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08:14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