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鲁北化工（600727）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ROE≈1.8% | 市值39亿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鲁北化工（600727）。所属行业为[]。总市值约38.6亿元，属中小型企业。主营业务围绕[]展开。PE约65.6倍，处于高估值成长区间。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鲁北化工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600727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鲁北化工所属[]行业。由于概念标签数据当前不可获取（Tushare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鲁北化工在[]领域运营。以下基于行业通用框架和公开信息进行分析。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从市值规模（38.6亿元）判断，公司属于[]行业的中小型企业。在这个定位下，公司竞争策略可能以差异化产品或细分市场深耕为主，而非全品类价格战。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由PE65.6倍和总市值38.6亿元推导，公司年化净利润约5900万。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上游：原材料供应商和设备制造商（具体取决于[]细分环节）。对于鲁北化工这类企业，关键原材料包括钢材、有色金属、电子元器件等基础工业品，采购来源相对分散。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推导年化净利润约5900万（=总市值38.6亿 ÷ PE65.6倍）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推导ROE约1.8%（=PB1.2 ÷ PE65.6）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5900万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鲁北化工所在赛道：[]。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65.6x处于中等偏高区间。PB 1.19x。核心矛盾在于未来2-3年净利润增速能否消化当前PE。以65.6x PE计算，若净利润年增长20%，3年后PE降至约37.9x；若仅增长10%，3年后PE约49.3x。投资者需结合行业增速和公司市场份额变化判断增速假设的合理性。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65.6倍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公司业绩超预期增长，若净利润增速&gt;30%则当前PE65.6x有望被快速消化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总市值38.6亿元，适中的规模意味着业绩弹性较大，一旦基本面改善，利润和估值双升弹性显著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高估值回调风险：PE65.6倍处于高估值区间，若业绩不及预期可能面临"戴维斯双杀"（估值+业绩双重下修），PE从65.6x回落至33x可能导致股价腰斩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换手率6.70%适中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PE65.6x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换手率6.7%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鲁北化工当前面临估值压力或基本面不确定性。建议等待更明确的信号（业绩拐点、行业催化剂）后再做判断。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PE65.6x虽高，若公司处于[]高景气赛道且增长确定性高，高估值可能被业绩消化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PE65.6x处于高位，估值回调风险是最大隐患——若业绩不及预期，可能面临杀估值+杀业绩双杀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宏观经济波动可能影响鲁北化工的下游需求和盈利能力，系统性风险不可忽视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可比公司估值对照——对比[]内同体量上市公司的PE中位数和PB均值，判断鲁北化工的相对估值位置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