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宁波海运（600798）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宁波海运（600798）。所属行业为[]。总市值约42.7亿元，属中小型企业。主营业务围绕[]展开。PE约65.2倍，处于高估值成长区间。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宁波海运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宁波海运所属[]行业。由于概念标签数据当前不可获取（Tushare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宁波海运在[]领域运营。以下基于行业通用框架和公开信息进行分析。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由PE65.2倍和总市值42.7亿元推导，公司年化净利润约6600万。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上游：原材料供应商和设备制造商（具体取决于[]细分环节）。对于宁波海运这类企业，关键原材料包括钢材、有色金属、电子元器件等基础工业品，采购来源相对分散。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推导年化净利润约6600万（=总市值42.7亿 ÷ PE65.2倍）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推导ROE约1.7%（=PB1.1 ÷ PE65.2）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宁波海运所在赛道：[]。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65.2x处于中等偏高区间。PB 1.08x。核心矛盾在于未来2-3年净利润增速能否消化当前PE。以65.2x PE计算，若净利润年增长20%，3年后PE降至约37.7x；若仅增长10%，3年后PE约49.0x。投资者需结合行业增速和公司市场份额变化判断增速假设的合理性。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高估值回调风险：PE65.2倍处于高估值区间，若业绩不及预期可能面临"戴维斯双杀"（估值+业绩双重下修），PE从65.2x回落至33x可能导致股价腰斩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宁波海运当前面临估值压力或基本面不确定性。建议等待更明确的信号（业绩拐点、行业催化剂）后再做判断。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宏观经济波动可能影响宁波海运的下游需求和盈利能力，系统性风险不可忽视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可比公司估值对照——对比[]内同体量上市公司的PE中位数和PB均值，判断宁波海运的相对估值位置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