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rFonts w:ascii="微软雅黑" w:hAnsi="微软雅黑" w:eastAsia="微软雅黑"/>
          <w:b/>
          <w:color w:val="1F4E79"/>
          <w:sz w:val="56"/>
        </w:rPr>
        <w:t>杭州解百（600814）</w:t>
      </w:r>
    </w:p>
    <w:p>
      <w:pPr>
        <w:jc w:val="center"/>
      </w:pPr>
      <w:r>
        <w:rPr>
          <w:rFonts w:ascii="微软雅黑" w:hAnsi="微软雅黑" w:eastAsia="微软雅黑"/>
          <w:b w:val="0"/>
          <w:color w:val="2E75B6"/>
          <w:sz w:val="36"/>
        </w:rPr>
        <w:t>九章个股深度分析报告</w:t>
      </w:r>
    </w:p>
    <w:p>
      <w:pPr>
        <w:jc w:val="center"/>
      </w:pPr>
      <w:r>
        <w:rPr>
          <w:rFonts w:ascii="微软雅黑" w:hAnsi="微软雅黑" w:eastAsia="微软雅黑"/>
          <w:b w:val="0"/>
          <w:color w:val="999999"/>
          <w:sz w:val="24"/>
        </w:rPr>
        <w:t>[] | ROE≈6.0% | 市值49亿</w:t>
      </w:r>
    </w:p>
    <w:p>
      <w:pPr>
        <w:jc w:val="center"/>
      </w:pPr>
      <w:r>
        <w:rPr>
          <w:rFonts w:ascii="微软雅黑" w:hAnsi="微软雅黑" w:eastAsia="微软雅黑"/>
          <w:b w:val="0"/>
          <w:color w:val="999999"/>
          <w:sz w:val="21"/>
        </w:rPr>
        <w:t>分析日期：2026年06月22日</w:t>
      </w:r>
    </w:p>
    <w:p>
      <w:pPr>
        <w:jc w:val="center"/>
      </w:pPr>
      <w:r>
        <w:rPr>
          <w:rFonts w:ascii="微软雅黑" w:hAnsi="微软雅黑" w:eastAsia="微软雅黑"/>
          <w:b w:val="0"/>
          <w:color w:val="C00000"/>
          <w:sz w:val="18"/>
        </w:rPr>
        <w:t>⚠️ 本报告仅供研究参考，不构成投资建议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第一章 公司概览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杭州解百（600814）。所属行业为[]。总市值约49.0亿元，属中小型企业。主营业务围绕[]展开。PE约21.5倍，处于低估值区间。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1.1 基本信息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4536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内容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公司全称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杭州解百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股票代码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600814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所属行业（证监会）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[]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总市值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49.03亿元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1.2 概念标签</w:t>
      </w:r>
    </w:p>
    <w:p>
      <w:r>
        <w:rPr>
          <w:rFonts w:ascii="微软雅黑" w:hAnsi="微软雅黑" w:eastAsia="微软雅黑"/>
          <w:b w:val="0"/>
          <w:color w:val="999999"/>
          <w:sz w:val="18"/>
        </w:rPr>
        <w:t>杭州解百所属[]行业。由于概念标签数据当前不可获取（Tushare API限频），此处不做杜撰。投资者可参考东方财富F10或同花顺个股页面获取完整概念覆盖。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第二章 主营业务分析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杭州解百在[]领域运营。以下基于行业通用框架和公开信息进行分析。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从市值规模（49.0亿元）判断，公司属于[]行业的中小型企业。在这个定位下，公司竞争策略可能以差异化产品或细分市场深耕为主，而非全品类价格战。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2.1 营收结构（基于公开信息推导）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由PE21.5倍和总市值49.0亿元推导，公司年化净利润约2.28亿。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若参考行业约7%的通用净利率水平，推导年营收约32.57亿。此为间接估算，准确数据请查阅公司最新年报。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第三章 上下游合作对手</w:t>
      </w:r>
    </w:p>
    <w:p>
      <w:r>
        <w:rPr>
          <w:rFonts w:ascii="微软雅黑" w:hAnsi="微软雅黑" w:eastAsia="微软雅黑"/>
          <w:b w:val="0"/>
          <w:color w:val="C00000"/>
          <w:sz w:val="18"/>
        </w:rPr>
        <w:t>⚠️ 以下信息基于产业链推导，非公司实际披露。具体客户/供应商请以公司年报为准。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从[]行业的通用产业链位置来看：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上游：原材料供应商和设备制造商（具体取决于[]细分环节）。对于杭州解百这类企业，关键原材料包括钢材、有色金属、电子元器件等基础工业品，采购来源相对分散。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下游：[]的下游客户通常分布在制造业、电子行业、新能源等领域。具体客户结构因公司业务模式（直销/经销）和产品类型而异，集中度是重要风险指标。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上市公司年报中通常会披露前五大客户和前五大供应商信息。前五大客户集中度&gt;50%为高风险（单客依赖），&lt;30%为风险较低。请以公司最新年报为准核实。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第四章 合同负债深度分析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合同负债（预收账款）是判断[]企业订单景气度的核心先行指标。完整数据请查阅公司最新季报资产负债表。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分析框架如下：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合同负债/营业收入比值：一般&gt;10%说明在手订单充足，&gt;20%说明订单非常饱满（如光伏设备、半导体设备类公司）。比值&lt;3%说明公司不依赖预收款模式（常见于大宗商品、消费品类）。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② 季度环比趋势：环比持续增长为积极信号（订单在积累）；连续下滑需关注订单萎缩或季节性因素。结合应收账款和存货三项指标可更全面判断经营景气度。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合同负债与应收账款的比例关系：预收（负债端）远大于应收（资产端）说明公司在产业链中议价能力强；反之则说明被下游占用资金。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第五章 财务全景分析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5.1 营收利润趋势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由于完整的三大财务报表未能通过API获取（Tushare积分不足），以下分析基于PE/PB/市值推导：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推导年化净利润约2.28亿（=总市值49.0亿 ÷ PE21.5倍）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推导ROE约6.0%（=PB1.3 ÷ PE21.5）</w:t>
      </w:r>
    </w:p>
    <w:p>
      <w:r>
        <w:rPr>
          <w:rFonts w:ascii="微软雅黑" w:hAnsi="微软雅黑" w:eastAsia="微软雅黑"/>
          <w:b w:val="0"/>
          <w:color w:val="C00000"/>
          <w:sz w:val="18"/>
        </w:rPr>
        <w:t>⚠️ 以上为间接推算，误差可能较大。建议以公司最新年报/季报数据为准。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5.2 资产负债表——基于公开数据的推断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资产负债率数据不可获取。对于[]行业，制造业企业通常资产负债率在40-60%区间为正常范围，超过70%需关注偿债压力。设备类企业固定资产占比高，折旧对利润侵蚀是重要关注点。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指标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数值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来源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最新收盘价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总市值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49.03亿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流通市值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动态PE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21.5倍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baostock+腾讯交叉验证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市净率PB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1.28倍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baostock+腾讯交叉验证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换手率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0.50%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年化净利润(PE推导)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2.28亿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推导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ROE(PB/PE推导)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6.0%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推导</w:t>
            </w:r>
          </w:p>
        </w:tc>
      </w:tr>
    </w:tbl>
    <w:p/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第六章 行业竞争格局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杭州解百所在赛道：[]。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对于[]行业，竞争格局受以下维度主导：①市场份额和营收规模排名；②技术壁垒和研发投入（是否具备核心技术/专利护城河）；③客户关系和渠道覆盖（下游客户集中度）；④品牌影响力和定价权；⑤成本优势和规模效应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第七章 估值分析</w:t>
      </w:r>
    </w:p>
    <w:p>
      <w:r>
        <w:rPr>
          <w:rFonts w:ascii="微软雅黑" w:hAnsi="微软雅黑" w:eastAsia="微软雅黑"/>
          <w:b/>
          <w:color w:val="C00000"/>
          <w:sz w:val="22"/>
        </w:rPr>
        <w:t>【核心矛盾】PE 21.5x处于低估值区间，PB 1.28x。低估值可能反映市场对基本面（低增长/高风险/行业周期下行）的担忧，也可能意味着被市场错误定价。如果是前者，"便宜"有原因；如果是后者，估值修复的催化剂是什么？建议从盈利趋势、行业拐点和机构持仓变化三个维度验证低估值的合理性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估值指标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当前水平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动态PE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21.5倍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偏低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市净率PB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1.28倍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总市值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49.03亿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换手率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0.50%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偏低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推导ROE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6.0%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一般</w:t>
            </w:r>
          </w:p>
        </w:tc>
      </w:tr>
    </w:tbl>
    <w:p/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第八章 催化剂与风险因素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8.1 利好催化剂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[]行业政策利好或下游需求爆发，带动公司订单增长和盈利改善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公司业绩超预期增长，若净利润增速&gt;30%则当前PE21.5x有望被快速消化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总市值49.0亿元，适中的规模意味着业绩弹性较大，一旦基本面改善，利润和估值双升弹性显著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⑤ 新产品/技术突破带来产品结构升级和毛利率提升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⑥ 行业整合并购机会，龙头集中度提升趋势下份额加速扩张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8.2 风险清单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① 基本面风险：低PE可能隐含市场对盈利持续性的担忧，若利润进一步下滑将直接推高PE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② 流动性风险：换手率0.50%，极端行情下可能出现流动性不足，大资金进出受限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③ 行业竞争风险：[]领域竞争格局可能发生变化，技术迭代、新进入者或产能过剩都可能压缩利润率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④ 宏观经济风险：制造业景气度与PMI高度相关，经济下行将压制行业整体估值和公司盈利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⑤ 供应链与成本风险：上游原材料价格波动和供应稳定性是重要变量，特别是在地缘政治不确定性加大的背景下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第九章 投资总结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9.1 多维度评分表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评分维度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得分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依据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行业景气度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★★★☆☆ (3/5)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[]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估值合理性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★★★★★ (5/5)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PE21.5x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概念覆盖度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★★☆☆☆ (2/5)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数据不可用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流动性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★☆☆☆☆ (1/5)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换手率0.5%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成长性预期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★★★★☆ (4/5)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推导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风险可控性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★★★★★ (5/5)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PB1.3x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数据完整度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★☆☆☆☆ (1/5)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仅估值/K线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综合评分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** 21/35 **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</w:r>
          </w:p>
        </w:tc>
      </w:tr>
    </w:tbl>
    <w:p/>
    <w:p>
      <w:r>
        <w:rPr>
          <w:rFonts w:ascii="微软雅黑" w:hAnsi="微软雅黑" w:eastAsia="微软雅黑"/>
          <w:b/>
          <w:color w:val="2E75B6"/>
          <w:sz w:val="32"/>
        </w:rPr>
        <w:t>综合评级：B级·推荐-B（21/35）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9.2 核心结论</w:t>
      </w:r>
    </w:p>
    <w:p>
      <w:r>
        <w:rPr>
          <w:rFonts w:ascii="微软雅黑" w:hAnsi="微软雅黑" w:eastAsia="微软雅黑"/>
          <w:b/>
          <w:color w:val="1F4E79"/>
          <w:sz w:val="22"/>
        </w:rPr>
        <w:t>杭州解百具有一定投资价值，但存在局部短板。建议在理解风险的前提下适度关注。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看好逻辑：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估值优势：PE21.5x处于A股中等偏低水平，若业绩改善确认，估值修复空间明确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② 行业前景：[]行业受益于国产替代和产业升级趋势，长期需求确定性较高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市值49亿元处于中小市值区间，业绩弹性大，盈利改善对股价的传导效率高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风险提示：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低PE有时反映市场对盈利下滑的担忧，需警惕"价值陷阱"——看似便宜但利润在缩水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换手率0.5%偏低，在需要止损时可能面临流动性不足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[]竞争加剧和技术迭代是基本面层面的核心风险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⑤ 宏观经济波动可能影响杭州解百的下游需求和盈利能力，系统性风险不可忽视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建议：适度关注，以合理价格参与。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关键跟踪指标：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PE估值回归——关注PE相对近120日均值的偏离程度，回落至中位数附近可能是介入时机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② 营收及净利润季度增速——环比和同比趋势是判断业绩拐点的核心信号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合同负债变化——作为订单先行指标，持续增长确认行业景气度上行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换手率和成交量变化——资金面的资金流入流出信号，辅助判断市场情绪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⑤ 行业催化事件——[]相关的政策利好、技术突破和龙头企业资本开支计划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⑥ 可比公司估值对照——对比[]内同体量上市公司的PE中位数和PB均值，判断杭州解百的相对估值位置</w:t>
      </w:r>
    </w:p>
    <w:p>
      <w:r>
        <w:br w:type="page"/>
      </w:r>
    </w:p>
    <w:p>
      <w:pPr>
        <w:jc w:val="center"/>
      </w:pPr>
      <w:r>
        <w:rPr>
          <w:rFonts w:ascii="微软雅黑" w:hAnsi="微软雅黑" w:eastAsia="微软雅黑"/>
          <w:b w:val="0"/>
          <w:color w:val="999999"/>
          <w:sz w:val="21"/>
        </w:rPr>
        <w:t>=======================================================</w:t>
      </w:r>
    </w:p>
    <w:p>
      <w:pPr>
        <w:jc w:val="center"/>
      </w:pPr>
      <w:r>
        <w:rPr>
          <w:rFonts w:ascii="微软雅黑" w:hAnsi="微软雅黑" w:eastAsia="微软雅黑"/>
          <w:b/>
          <w:color w:val="1F4E79"/>
          <w:sz w:val="28"/>
        </w:rPr>
        <w:t>免责声明</w:t>
      </w:r>
    </w:p>
    <w:p>
      <w:r>
        <w:rPr>
          <w:rFonts w:ascii="微软雅黑" w:hAnsi="微软雅黑" w:eastAsia="微软雅黑"/>
          <w:b w:val="0"/>
          <w:color w:val="999999"/>
          <w:sz w:val="18"/>
        </w:rPr>
        <w:t>本报告基于公开数据和量化模型自动生成，不构成任何投资建议。报告中的评分、评级和结论仅供参考，不保证数据的完整性和准确性。部分财务指标由PE/PB/市值推导得出，非直接取自财务报表。投资者应查阅公司最新定期报告获取精确数据。股市有风险，投资需谨慎。过往表现不代表未来收益。</w:t>
      </w:r>
    </w:p>
    <w:p>
      <w:r>
        <w:rPr>
          <w:rFonts w:ascii="微软雅黑" w:hAnsi="微软雅黑" w:eastAsia="微软雅黑"/>
          <w:b w:val="0"/>
          <w:color w:val="BBBBBB"/>
          <w:sz w:val="16"/>
        </w:rPr>
        <w:t>数据来源：baostock（K线+行业+PE/PB）+ 腾讯股票API（实时行情）+ NeoData（产业链/新闻）  |  生成：2026-06-22 08:15</w:t>
      </w:r>
    </w:p>
    <w:p>
      <w:r>
        <w:rPr>
          <w:rFonts w:ascii="微软雅黑" w:hAnsi="微软雅黑" w:eastAsia="微软雅黑"/>
          <w:b w:val="0"/>
          <w:color w:val="007F00"/>
          <w:sz w:val="16"/>
        </w:rPr>
        <w:br/>
        <w:t>✅ 生成质检：已通过禁用词扫描。</w:t>
      </w:r>
    </w:p>
    <w:sectPr w:rsidR="00FC693F" w:rsidRPr="0006063C" w:rsidSect="00034616">
      <w:pgSz w:w="11906" w:h="16838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