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上海物贸（600822）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ROE≈2.3% | 市值42亿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上海物贸（600822）。所属行业为[]。总市值约41.6亿元，属中小型企业。主营业务围绕[]展开。PE约147.1倍，处于高估值成长区间。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上海物贸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600822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41.61亿元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上海物贸所属[]行业。由于概念标签数据当前不可获取（Tushare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上海物贸在[]领域运营。以下基于行业通用框架和公开信息进行分析。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从市值规模（41.6亿元）判断，公司属于[]行业的中小型企业。在这个定位下，公司竞争策略可能以差异化产品或细分市场深耕为主，而非全品类价格战。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由PE147.1倍和总市值41.6亿元推导，公司年化净利润约2800万。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上游：原材料供应商和设备制造商（具体取决于[]细分环节）。对于上海物贸这类企业，关键原材料包括钢材、有色金属、电子元器件等基础工业品，采购来源相对分散。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推导年化净利润约2800万（=总市值41.6亿 ÷ PE147.1倍）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推导ROE约2.3%（=PB3.4 ÷ PE147.1）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上海物贸所在赛道：[]。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147.1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3.35x也处于合理水平，ROE与PB水平基本匹配。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147.1倍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公司业绩超预期增长，若净利润增速&gt;30%则当前PE147.1x有望被快速消化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总市值41.6亿元，适中的规模意味着业绩弹性较大，一旦基本面改善，利润和估值双升弹性显著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高估值回调风险：PE147.1倍处于高估值区间，若业绩不及预期可能面临"戴维斯双杀"（估值+业绩双重下修），PE从147.1x回落至74x可能导致股价腰斩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PE147.1x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上海物贸当前面临估值压力或基本面不确定性。建议等待更明确的信号（业绩拐点、行业催化剂）后再做判断。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PE147.1x虽高，若公司处于[]高景气赛道且增长确定性高，高估值可能被业绩消化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PE147.1x处于高位，估值回调风险是最大隐患——若业绩不及预期，可能面临杀估值+杀业绩双杀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宏观经济波动可能影响上海物贸的下游需求和盈利能力，系统性风险不可忽视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可比公司估值对照——对比[]内同体量上市公司的PE中位数和PB均值，判断上海物贸的相对估值位置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