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第一医药（600833）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ROE≈6.5% | 市值22亿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第一医药（600833）。所属行业为[]。总市值约21.6亿元，属中小型企业。主营业务围绕[]展开。PE约28.3倍，处于中等估值区间。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第一医药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600833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21.62亿元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第一医药所属[]行业。由于概念标签数据当前不可获取（Tushare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第一医药在[]领域运营。以下基于行业通用框架和公开信息进行分析。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由PE28.3倍和总市值21.6亿元推导，公司年化净利润约7600万。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上游：原材料供应商和设备制造商（具体取决于[]细分环节）。对于第一医药这类企业，关键原材料包括钢材、有色金属、电子元器件等基础工业品，采购来源相对分散。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推导年化净利润约7600万（=总市值21.6亿 ÷ PE28.3倍）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推导ROE约6.5%（=PB1.8 ÷ PE28.3）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第一医药所在赛道：[]。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28.3x、PB 1.83x处于行业中枢水平。估值的关键在于ROE（推导约6.5%）能否支撑当前PB，以及利润增速是否匹配PE水平。PE 28.3x隐含了约3.5%的盈利收益率期望。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公司业绩超预期增长，若净利润增速&gt;30%则当前PE28.3x有望被快速消化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PE28.3x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第一医药具有一定投资价值，但存在局部短板。建议在理解风险的前提下适度关注。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估值优势：PE28.3x处于A股中等偏低水平，若业绩改善确认，估值修复空间明确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宏观经济波动可能影响第一医药的下游需求和盈利能力，系统性风险不可忽视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可比公司估值对照——对比[]内同体量上市公司的PE中位数和PB均值，判断第一医药的相对估值位置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