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宁波中百（600857）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ROE≈5.3% | 市值36亿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宁波中百（600857）。所属行业为[]。总市值约35.9亿元，属中小型企业。主营业务围绕[]展开。PE约77.0倍，处于高估值成长区间。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宁波中百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600857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宁波中百所属[]行业。由于概念标签数据当前不可获取（Tushare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宁波中百在[]领域运营。以下基于行业通用框架和公开信息进行分析。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从市值规模（35.9亿元）判断，公司属于[]行业的中小型企业。在这个定位下，公司竞争策略可能以差异化产品或细分市场深耕为主，而非全品类价格战。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由PE77.0倍和总市值35.9亿元推导，公司年化净利润约4700万。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若参考行业约7%的通用净利率水平，推导年营收约6.71亿。此为间接估算，准确数据请查阅公司最新年报。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上游：原材料供应商和设备制造商（具体取决于[]细分环节）。对于宁波中百这类企业，关键原材料包括钢材、有色金属、电子元器件等基础工业品，采购来源相对分散。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推导年化净利润约4700万（=总市值35.9亿 ÷ PE77.0倍）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推导ROE约5.3%（=PB4.1 ÷ PE77.0）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宁波中百所在赛道：[]。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77.0x处于中等偏高区间。PB 4.11x。核心矛盾在于未来2-3年净利润增速能否消化当前PE。以77.0x PE计算，若净利润年增长20%，3年后PE降至约44.5x；若仅增长10%，3年后PE约57.9x。投资者需结合行业增速和公司市场份额变化判断增速假设的合理性。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77.0倍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35.94亿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4.84%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公司业绩超预期增长，若净利润增速&gt;30%则当前PE77.0x有望被快速消化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总市值35.9亿元，适中的规模意味着业绩弹性较大，一旦基本面改善，利润和估值双升弹性显著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高估值回调风险：PE77.0倍处于高估值区间，若业绩不及预期可能面临"戴维斯双杀"（估值+业绩双重下修），PE从77.0x回落至39x可能导致股价腰斩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流动性风险：换手率4.84%，极端行情下可能出现流动性不足，大资金进出受限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PE77.0x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PB4.1x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宁波中百当前面临估值压力或基本面不确定性。建议等待更明确的信号（业绩拐点、行业催化剂）后再做判断。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PE77.0x虽高，若公司处于[]高景气赛道且增长确定性高，高估值可能被业绩消化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市值36亿元处于中小市值区间，业绩弹性大，盈利改善对股价的传导效率高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PE77.0x处于高位，估值回调风险是最大隐患——若业绩不及预期，可能面临杀估值+杀业绩双杀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宏观经济波动可能影响宁波中百的下游需求和盈利能力，系统性风险不可忽视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可比公司估值对照——对比[]内同体量上市公司的PE中位数和PB均值，判断宁波中百的相对估值位置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