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博闻科技（600883）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ROE≈2.9% | 市值18亿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博闻科技（600883）。所属行业为[]。总市值约18.0亿元，属中小型企业。主营业务围绕[]展开。PE约64.0倍，处于高估值成长区间。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博闻科技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600883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18.01亿元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博闻科技所属[]行业。由于概念标签数据当前不可获取（Tushare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博闻科技在[]领域运营。以下基于行业通用框架和公开信息进行分析。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从市值规模（18.0亿元）判断，公司属于[]行业的中小型企业。在这个定位下，公司竞争策略可能以差异化产品或细分市场深耕为主，而非全品类价格战。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由PE64.0倍和总市值18.0亿元推导，公司年化净利润约2800万。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上游：原材料供应商和设备制造商（具体取决于[]细分环节）。对于博闻科技这类企业，关键原材料包括钢材、有色金属、电子元器件等基础工业品，采购来源相对分散。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推导年化净利润约2800万（=总市值18.0亿 ÷ PE64.0倍）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推导ROE约2.9%（=PB1.8 ÷ PE64.0）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18.01亿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64.0倍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博闻科技所在赛道：[]。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64.0x处于中等偏高区间。PB 1.83x。核心矛盾在于未来2-3年净利润增速能否消化当前PE。以64.0x PE计算，若净利润年增长20%，3年后PE降至约37.0x；若仅增长10%，3年后PE约48.1x。投资者需结合行业增速和公司市场份额变化判断增速假设的合理性。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64.0倍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18.01亿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公司业绩超预期增长，若净利润增速&gt;30%则当前PE64.0x有望被快速消化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总市值18.0亿元，适中的规模意味着业绩弹性较大，一旦基本面改善，利润和估值双升弹性显著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高估值回调风险：PE64.0倍处于高估值区间，若业绩不及预期可能面临"戴维斯双杀"（估值+业绩双重下修），PE从64.0x回落至32x可能导致股价腰斩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流动性风险：换手率1.69%，极端行情下可能出现流动性不足，大资金进出受限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PE64.0x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博闻科技当前面临估值压力或基本面不确定性。建议等待更明确的信号（业绩拐点、行业催化剂）后再做判断。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PE64.0x虽高，若公司处于[]高景气赛道且增长确定性高，高估值可能被业绩消化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PE64.0x处于高位，估值回调风险是最大隐患——若业绩不及预期，可能面临杀估值+杀业绩双杀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宏观经济波动可能影响博闻科技的下游需求和盈利能力，系统性风险不可忽视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可比公司估值对照——对比[]内同体量上市公司的PE中位数和PB均值，判断博闻科技的相对估值位置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