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中国黄金（600916）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ROE≈4.2% | 市值127亿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中国黄金（600916）。所属行业为[]。总市值约126.8亿元，属中大型企业。主营业务围绕[]展开。PE约41.6倍，处于中等估值区间。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中国黄金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600916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126.84亿元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中国黄金所属[]行业。由于概念标签数据当前不可获取（Tushare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中国黄金在[]领域运营。以下基于行业通用框架和公开信息进行分析。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从市值规模（126.8亿元）判断，公司属于[]行业的中大型企业。在这个定位下，公司竞争策略可能以差异化产品或细分市场深耕为主，而非全品类价格战。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由PE41.6倍和总市值126.8亿元推导，公司年化净利润约3.05亿。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若参考行业约7%的通用净利率水平，推导年营收约43.57亿。此为间接估算，准确数据请查阅公司最新年报。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上游：原材料供应商和设备制造商（具体取决于[]细分环节）。对于中国黄金这类企业，关键原材料包括钢材、有色金属、电子元器件等基础工业品，采购来源相对分散。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推导年化净利润约3.05亿（=总市值126.8亿 ÷ PE41.6倍）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推导ROE约4.2%（=PB1.7 ÷ PE41.6）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126.84亿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3.05亿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中国黄金所在赛道：[]。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41.6x、PB 1.74x处于行业中枢水平。估值的关键在于ROE（推导约4.2%）能否支撑当前PB，以及利润增速是否匹配PE水平。PE 41.6x隐含了约2.4%的盈利收益率期望。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41.6倍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126.84亿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公司业绩超预期增长，若净利润增速&gt;30%则当前PE41.6x有望被快速消化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总市值126.8亿元，适中的规模意味着业绩弹性较大，一旦基本面改善，利润和估值双升弹性显著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估值压缩风险：PE41.6倍处于中等偏上，若市场情绪转向或行业景气度下行，估值可能压缩至20-25倍区间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流动性风险：换手率1.21%，极端行情下可能出现流动性不足，大资金进出受限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PE41.6x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中国黄金具有一定投资价值，但存在局部短板。建议在理解风险的前提下适度关注。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PE41.6x处于行业可接受范围，若净利润增速&gt;20%将形成合理估值支撑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市值127亿元处于中小市值区间，业绩弹性大，盈利改善对股价的传导效率高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PE41.6x存在估值压缩风险，若市场情绪转向或增长放缓，可能挤压至合理区间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宏观经济波动可能影响中国黄金的下游需求和盈利能力，系统性风险不可忽视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可比公司估值对照——对比[]内同体量上市公司的PE中位数和PB均值，判断中国黄金的相对估值位置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