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工业富联（601138）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ROE≈23.1% | 市值15494亿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工业富联（601138）。所属行业为[]。总市值约15494.3亿元，属大型企业。主营业务围绕[]展开。PE约38.1倍，处于中等估值区间。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工业富联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601138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15494.27亿元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工业富联所属[]行业。由于概念标签数据当前不可获取（Tushare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工业富联在[]领域运营。以下基于行业通用框架和公开信息进行分析。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从市值规模（15494.3亿元）判断，公司属于[]行业的大型平台型企业。在这个定位下，公司竞争策略可能以差异化产品或细分市场深耕为主，而非全品类价格战。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由PE38.1倍和总市值15494.3亿元推导，公司年化净利润约406.46亿。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若参考行业约7%的通用净利率水平，推导年营收约5806.57亿。此为间接估算，准确数据请查阅公司最新年报。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上游：原材料供应商和设备制造商（具体取决于[]细分环节）。对于工业富联这类企业，关键原材料包括钢材、有色金属、电子元器件等基础工业品，采购来源相对分散。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推导年化净利润约406.46亿（=总市值15494.3亿 ÷ PE38.1倍）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推导ROE约23.1%（=PB8.8 ÷ PE38.1）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15494.27亿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406.46亿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工业富联所在赛道：[]。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38.1x、PB 8.79x处于行业中枢水平。估值的关键在于ROE（推导约23.1%）能否支撑当前PB，以及利润增速是否匹配PE水平。PE 38.1x隐含了约2.6%的盈利收益率期望。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15494.27亿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公司业绩超预期增长，若净利润增速&gt;30%则当前PE38.1x有望被快速消化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总市值15494.3亿元，适中的规模意味着业绩弹性较大，一旦基本面改善，利润和估值双升弹性显著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估值压缩风险：PE38.1倍处于中等偏上，若市场情绪转向或行业景气度下行，估值可能压缩至20-25倍区间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高PB风险：PB8.79x需要高ROE支撑，若ROE下滑PB将面临均值回归压力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PE38.1x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工业富联当前面临估值压力或基本面不确定性。建议等待更明确的信号（业绩拐点、行业催化剂）后再做判断。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PE38.1x处于行业可接受范围，若净利润增速&gt;20%将形成合理估值支撑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ROE23.1%处于良好水平，显示公司资本运用效率较高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PB8.79x需要极强ROE支撑，若ROE无法持续&gt;20%，PB将面临均值回归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宏观经济波动可能影响工业富联的下游需求和盈利能力，系统性风险不可忽视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可比公司估值对照——对比[]内同体量上市公司的PE中位数和PB均值，判断工业富联的相对估值位置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